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BEE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20" w:lineRule="exact"/>
        <w:jc w:val="both"/>
        <w:textAlignment w:val="auto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附件5</w:t>
      </w:r>
      <w:bookmarkStart w:id="0" w:name="_GoBack"/>
      <w:bookmarkEnd w:id="0"/>
    </w:p>
    <w:p w14:paraId="4C891E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2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202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年湖南省心理咨询技能大赛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案例报告基本结构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与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细则要求</w:t>
      </w:r>
    </w:p>
    <w:p w14:paraId="04C40823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</w:p>
    <w:p w14:paraId="3C2CB7BC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遵循“伦理优先、真实客观、主流专业、完整规范、逻辑连贯”原则，全文8000-12000 字，严格做好来访者信息匿名化处理。</w:t>
      </w:r>
    </w:p>
    <w:p w14:paraId="1D1B2699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</w:p>
    <w:p w14:paraId="32123D5E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标题：来访核心特点、主要问题、主要方法，25个字以内，不用副标题。</w:t>
      </w:r>
    </w:p>
    <w:p w14:paraId="0E2C527B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咨询师：姓名、职称、</w:t>
      </w:r>
      <w:r>
        <w:rPr>
          <w:rFonts w:hint="eastAsia" w:ascii="宋体" w:hAnsi="宋体" w:eastAsia="宋体"/>
          <w:color w:val="auto"/>
        </w:rPr>
        <w:t>执业/实践机构</w:t>
      </w:r>
      <w:r>
        <w:rPr>
          <w:rFonts w:hint="eastAsia" w:ascii="宋体" w:hAnsi="宋体" w:eastAsia="宋体"/>
          <w:color w:val="auto"/>
          <w:lang w:eastAsia="zh-CN"/>
        </w:rPr>
        <w:t>、</w:t>
      </w:r>
      <w:r>
        <w:rPr>
          <w:rFonts w:hint="eastAsia" w:ascii="宋体" w:hAnsi="宋体" w:eastAsia="宋体"/>
          <w:color w:val="auto"/>
          <w:lang w:val="en-US" w:eastAsia="zh-CN"/>
        </w:rPr>
        <w:t>指导老师</w:t>
      </w:r>
    </w:p>
    <w:p w14:paraId="10C14F24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摘要：</w:t>
      </w:r>
      <w:r>
        <w:rPr>
          <w:rFonts w:hint="eastAsia" w:ascii="宋体" w:hAnsi="宋体" w:eastAsia="宋体"/>
          <w:color w:val="auto"/>
        </w:rPr>
        <w:t>简要介绍案例的</w:t>
      </w:r>
      <w:r>
        <w:rPr>
          <w:rFonts w:hint="eastAsia" w:ascii="宋体" w:hAnsi="宋体" w:eastAsia="宋体"/>
          <w:color w:val="auto"/>
          <w:lang w:val="en-US" w:eastAsia="zh-CN"/>
        </w:rPr>
        <w:t>核心问题、主要表现、咨询目标、主要方法、效果意义。300字左右。</w:t>
      </w:r>
    </w:p>
    <w:p w14:paraId="1886A3CE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关键词：与案例相关的问题类型、主要方法、核心背景。</w:t>
      </w:r>
      <w:r>
        <w:rPr>
          <w:rFonts w:hint="eastAsia" w:ascii="宋体" w:hAnsi="宋体" w:eastAsia="宋体"/>
          <w:color w:val="auto"/>
        </w:rPr>
        <w:t>关键词3-5个</w:t>
      </w:r>
      <w:r>
        <w:rPr>
          <w:rFonts w:hint="eastAsia" w:ascii="宋体" w:hAnsi="宋体" w:eastAsia="宋体"/>
          <w:color w:val="auto"/>
          <w:lang w:val="en-US" w:eastAsia="zh-CN"/>
        </w:rPr>
        <w:t>。</w:t>
      </w:r>
    </w:p>
    <w:p w14:paraId="12798139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</w:p>
    <w:p w14:paraId="528F0ECF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1.案例基本信息</w:t>
      </w:r>
    </w:p>
    <w:p w14:paraId="1E7336EB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1.1咨询师信息：</w:t>
      </w:r>
    </w:p>
    <w:p w14:paraId="567EF4C5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性别、年龄、学历、主要理论取向（可跨流派）、心理咨询小时数、督导小时数、专业受训背景。</w:t>
      </w:r>
    </w:p>
    <w:p w14:paraId="2A8AD933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1.2来访者信息：</w:t>
      </w:r>
    </w:p>
    <w:p w14:paraId="4E1E9940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严格匿名化，标注化名、性别、年龄、学历/职业、婚姻/家庭状况（仅保留与咨询问题相关的关键信息），隐匿所有可识别信息（如学校/单位、住址、具体事件、社交关系等可能具有辨识度的对号入座信息）。</w:t>
      </w:r>
    </w:p>
    <w:p w14:paraId="76D39825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1.3咨询背景：</w:t>
      </w:r>
    </w:p>
    <w:p w14:paraId="28AA4D77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求助途径（如自主预约、机构转介、学校推荐等）、咨询动机、初始诉求（引用来访者原话，还原来访者表述）。</w:t>
      </w:r>
    </w:p>
    <w:p w14:paraId="4BF206E9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1.4个人成长史：</w:t>
      </w:r>
    </w:p>
    <w:p w14:paraId="0ECC6B91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聚焦与咨询核心问题相关的关键经历（如早期负性事件、家庭教养模式、重要人际关系、重大生活变故等），300字内，避免无关细节堆砌与不必要的赘述，建议按照时间线年龄从小到大。</w:t>
      </w:r>
    </w:p>
    <w:p w14:paraId="6103598B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1.5咨询设置：</w:t>
      </w:r>
    </w:p>
    <w:p w14:paraId="74E20684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咨询形式（个体/团体、线上/线下，本次竞赛仅限个体咨询的案例报告）、咨询起止时间、会谈频率与总次数（本竞赛案例要求不少于8次）、每次咨询时长、收费标准（如公益咨询需注明）、是否接受督导及督导形式（个体/集体，本竞赛案例督导要求个体督导）。</w:t>
      </w:r>
    </w:p>
    <w:p w14:paraId="4DE2B5F7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</w:p>
    <w:p w14:paraId="1E139A6F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2.评估与诊断</w:t>
      </w:r>
    </w:p>
    <w:p w14:paraId="4823B942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2.1多维度评估：</w:t>
      </w:r>
    </w:p>
    <w:p w14:paraId="0E8602A3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2.1.1临床访谈评估：</w:t>
      </w:r>
    </w:p>
    <w:p w14:paraId="7F1E51F4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详细描述来访者核心症状（情绪、认知、行为、生理四个层面）、社会功能受损程度（如学习/工作、人际关系、日常生活能力的影响情况）、自知力水平。</w:t>
      </w:r>
    </w:p>
    <w:p w14:paraId="057387CF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2.1.2量表评估：</w:t>
      </w:r>
    </w:p>
    <w:p w14:paraId="5662D768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选用标准化、行业认可的心理量表（如焦虑用SAS、GAD-7，抑郁用SDS、PHQ-9等），注明量表名称、编制者、施测时间、原始得分、标准分及专业结果解读。</w:t>
      </w:r>
    </w:p>
    <w:p w14:paraId="7DAE4909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2.1.3其他评估：</w:t>
      </w:r>
    </w:p>
    <w:p w14:paraId="0B4B78A6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可结合行为观察、他人反馈（家属/老师/同事，需获来访者知情同意）等补充评估信息。</w:t>
      </w:r>
    </w:p>
    <w:p w14:paraId="1D544E48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2.1.4鉴别诊断：</w:t>
      </w:r>
    </w:p>
    <w:p w14:paraId="53407319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排除器质性病变、重性精神障碍（如精神分裂症、重度抑郁发作、双相情感障碍等），明确与相似心理问题/障碍的区分依据（如一般心理问题与严重心理问题、适应障碍与社交焦虑障碍的区别）。</w:t>
      </w:r>
    </w:p>
    <w:p w14:paraId="1A2C17E3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2.2诊断与评估结果：</w:t>
      </w:r>
    </w:p>
    <w:p w14:paraId="2FE609E9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2.2.1诊断依据</w:t>
      </w:r>
    </w:p>
    <w:p w14:paraId="42C89D35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依据DSM-5或ICD-11诊断标准，明确诊断名称（如“社交焦虑障碍（中度）”“一般心理问题（人际关系困扰）”），非精神障碍案例需注明“未达到精神障碍诊断标准，属于心理咨询范畴”。</w:t>
      </w:r>
    </w:p>
    <w:p w14:paraId="5AA0FF96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2.2.2工作诊断</w:t>
      </w:r>
    </w:p>
    <w:p w14:paraId="4D133B8B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无医师资格的咨询师，仅可做工作诊断（注明“工作诊断，不具备法律效力”），严禁做出临床医学诊断。可列出在某三甲综合医院精神科/临床心理科、什么时间获得什么诊断、药物治疗与心理咨询干预的建议，一个月内没有复查的建议复查，获得最新的诊断评估与咨询干预的建议。</w:t>
      </w:r>
    </w:p>
    <w:p w14:paraId="1937D917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大学生组、中小学心理健康教师组，特别是大学生组，建议选用未达到诊断标准的心理问题。</w:t>
      </w:r>
    </w:p>
    <w:p w14:paraId="108DAB93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</w:p>
    <w:p w14:paraId="4AA88016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3.个案概念化</w:t>
      </w:r>
    </w:p>
    <w:p w14:paraId="331862FE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3.1理论框架：</w:t>
      </w:r>
    </w:p>
    <w:p w14:paraId="51BA385F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明确选用的咨询理论（可跨流派，如“认知行为疗法+情绪聚焦疗法”），简述理论与本案例的适配性（如“来访者核心问题为负性自动思维导致的行为回避，适配认知行为疗法的认知重构技术；同时存在情绪压抑问题，结合情绪聚焦疗法进行情绪疏导”）。如果是跨流派的整合，建议以某一种主流的方法为主要理论基础，对来访者形成概念化。并以这种主流理论来整合其他的理论。不建议大于三种以上的跨流派整合。</w:t>
      </w:r>
    </w:p>
    <w:p w14:paraId="7A0EE53D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3.2核心问题分析：</w:t>
      </w:r>
    </w:p>
    <w:p w14:paraId="06A0844D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3.2.1表层问题：</w:t>
      </w:r>
    </w:p>
    <w:p w14:paraId="553228A4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来访者主诉的具体困扰、主要表现，与初始诉求、临床访谈、测评结果一致。</w:t>
      </w:r>
    </w:p>
    <w:p w14:paraId="75353946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3.2.2深层机制：</w:t>
      </w:r>
    </w:p>
    <w:p w14:paraId="41CAAB30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结合选用理论，分析问题的发生、发展及维持原因（如CBT视角的“认知-情绪-行为”循环、心理动力学视角的早期依恋创伤、人本视角的自我概念冲突等）。</w:t>
      </w:r>
    </w:p>
    <w:p w14:paraId="37B578A4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3.2.3本土化/环境因素：</w:t>
      </w:r>
    </w:p>
    <w:p w14:paraId="446B98C8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结合中国文化背景（如集体主义文化、家庭观念、社会评价体系）及来访者所处环境（如校园、职场、家庭）分析问题的影响因素。可以分为生理、社会、心理因素，重点是社会、心理因素中可改变的因素，并与你选择的流派工作内容有关。</w:t>
      </w:r>
    </w:p>
    <w:p w14:paraId="1145E5D5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3.3概念化逻辑：</w:t>
      </w:r>
    </w:p>
    <w:p w14:paraId="7A1C7BCA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建议用流程图呈现核心问题的逻辑关系（如“童年被否定经历→核心信念‘我不够好’→社交场景触发负性思维→焦虑/抑郁情绪→回避/退缩行为→社交失败→强化负性信念”），图示简洁明了，贴合案例实际。</w:t>
      </w:r>
    </w:p>
    <w:p w14:paraId="7588A29F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</w:p>
    <w:p w14:paraId="44236601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4咨询目标与方案</w:t>
      </w:r>
    </w:p>
    <w:p w14:paraId="79AD46F0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4.1咨询目标：</w:t>
      </w:r>
    </w:p>
    <w:p w14:paraId="2384F670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按短期、中期、长期分层设定，严格遵循SMART原则（具体、可测量、可实现、相关性、时限性），目标需与评估诊断、个案概念化、来访者诉求一致。</w:t>
      </w:r>
    </w:p>
    <w:p w14:paraId="6464B41E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4.1.1短期（1-4次）：</w:t>
      </w:r>
    </w:p>
    <w:p w14:paraId="27941C43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缓解急性症状，稳定情绪状态（如“降低来访者社交场合焦虑水平，使SAS得分降至50分以下，减少刻意回避社交的行为”）。</w:t>
      </w:r>
    </w:p>
    <w:p w14:paraId="225C5169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4.1.2中期（5-8次）：</w:t>
      </w:r>
    </w:p>
    <w:p w14:paraId="71ECE71D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修正不合理认知/改善不良行为模式/疏导深层情绪（如“帮助来访者识别并挑战社交中的负性自动思维，建立合理的认知模式”）。</w:t>
      </w:r>
    </w:p>
    <w:p w14:paraId="02E4AA08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4.1.3长期（9次及以上）：</w:t>
      </w:r>
    </w:p>
    <w:p w14:paraId="0F0569ED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提升心理韧性，恢复社会功能，建立长效应对机制（如“帮助来访者建立健康的社交应对方式，社会功能恢复至正常水平，能够独立应对社交压力”）。</w:t>
      </w:r>
    </w:p>
    <w:p w14:paraId="514180CD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4.2咨询方案：</w:t>
      </w:r>
    </w:p>
    <w:p w14:paraId="2EF5CE12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4.2.1核心技术：</w:t>
      </w:r>
    </w:p>
    <w:p w14:paraId="770B018A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明确选用的具体咨询技术（如认知重构、苏格拉底提问、行为暴露、正念训练、情绪宣泄、客体关系技术等），说明技术使用的依据和时机。</w:t>
      </w:r>
    </w:p>
    <w:p w14:paraId="5707F05A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4.2.2实施计划：</w:t>
      </w:r>
    </w:p>
    <w:p w14:paraId="72301D8D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分阶段说明各阶段的咨询重点、技术应用步骤、预期效果（如“第一阶段：建立咨询关系与心理教育；第二阶段：认知探索与症状评估；第三阶段：干预实施与行为训练；第四阶段：巩固效果与结束准备”）。</w:t>
      </w:r>
    </w:p>
    <w:p w14:paraId="7237C62E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4.2.3危机预案：</w:t>
      </w:r>
    </w:p>
    <w:p w14:paraId="15A0CFEF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若案例涉及自伤、自杀、冲动行为等风险，需详细说明风险评估结果、干预措施（如签订安全协议、联动家属/学校/医院、转诊转介等），无风险需注明“经评估，来访者无明显危机风险”。</w:t>
      </w:r>
    </w:p>
    <w:p w14:paraId="27769905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</w:p>
    <w:p w14:paraId="616A4A6C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5.咨询过程</w:t>
      </w:r>
    </w:p>
    <w:p w14:paraId="426D73E3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本部分为报告核心，需分阶段详述，体现咨询的动态过程和咨询师的专业能力，避免流水账式记录。</w:t>
      </w:r>
    </w:p>
    <w:p w14:paraId="7813050A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5.1阶段划分：</w:t>
      </w:r>
    </w:p>
    <w:p w14:paraId="439D4B60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按咨询进展分为3-4个阶段，每个阶段注明对应咨询次数、核心任务、技术应用、咨询师的干预思路及来访者的具体变化（情绪、认知、行为层面）。</w:t>
      </w:r>
    </w:p>
    <w:p w14:paraId="0FC79ECC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5.2关键片段呈现：</w:t>
      </w:r>
    </w:p>
    <w:p w14:paraId="4EB68A9A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每个阶段选取1-2个典型咨询片段，需完整呈现“来访者表述-咨询师回应-技术应用-来访者反馈-技术调整”的互动过程，片段需贴合阶段核心任务，体现咨询思路的连贯性。</w:t>
      </w:r>
    </w:p>
    <w:p w14:paraId="1D48DAFE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5.3督导与调整：</w:t>
      </w:r>
    </w:p>
    <w:p w14:paraId="2149BCA6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注明咨询过程中的督导参与情况（如“第5次咨询后接受个体督导，督导师建议优化行为暴露的梯度设计，调整后续咨询方案”），若咨询过程中出现方案调整，需说明调整原因和依据。</w:t>
      </w:r>
    </w:p>
    <w:p w14:paraId="7564DFE8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5.4咨询关系：</w:t>
      </w:r>
    </w:p>
    <w:p w14:paraId="341FB6B3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简要分析咨询关系的发展过程（如建立、深化、挑战、修复等），以及咨询关系对咨询效果的影响。</w:t>
      </w:r>
    </w:p>
    <w:p w14:paraId="709E4CD5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6咨询效果评估</w:t>
      </w:r>
    </w:p>
    <w:p w14:paraId="015E4F5B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采用“量化+质性”结合的方式进行全面评估，评估结果需客观真实，严禁夸大疗效，需体现咨询目标的完成情况。</w:t>
      </w:r>
    </w:p>
    <w:p w14:paraId="22682FA6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</w:p>
    <w:p w14:paraId="72C24185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6.1量化评估：</w:t>
      </w:r>
    </w:p>
    <w:p w14:paraId="597621A9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6.1.1量表复测：</w:t>
      </w:r>
    </w:p>
    <w:p w14:paraId="3BF0268F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对比咨询前、中、后的量表得分，分析得分变化的专业意义（如“IAS得分从68分降至42分，提示社交焦虑症状显著缓解，达到正常范围”）。</w:t>
      </w:r>
    </w:p>
    <w:p w14:paraId="2E96E059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6.1.2行为指标：</w:t>
      </w:r>
    </w:p>
    <w:p w14:paraId="51781AD0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观察、监测、统计来访者具体行为的变化数据（如“社交回避次数从每周5次降至每月1次，主动参与社交活动的次数从每月1次增至每周2次”）。</w:t>
      </w:r>
    </w:p>
    <w:p w14:paraId="3C99C21D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6.2质性评估：</w:t>
      </w:r>
    </w:p>
    <w:p w14:paraId="7D3A6F5D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6.2.1来访者反馈：</w:t>
      </w:r>
    </w:p>
    <w:p w14:paraId="21273310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引用来访者的自我报告原话（如“现在能主动和同事交流，开会发言时紧张感明显减轻，不再刻意回避社交场合”），体现来访者的主观体验变化。</w:t>
      </w:r>
    </w:p>
    <w:p w14:paraId="56C473E9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6.2.2他人反馈：</w:t>
      </w:r>
    </w:p>
    <w:p w14:paraId="6CC5CDBD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收集家属/老师/同事的客观观察（需获来访者知情同意，如“来访者家属反映，其在家中情绪更平稳，不再因小事烦躁，与家人沟通增多”）。</w:t>
      </w:r>
    </w:p>
    <w:p w14:paraId="7A2F1AEA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6.2.3咨询师评估：</w:t>
      </w:r>
    </w:p>
    <w:p w14:paraId="0F0FCDB1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基于咨询过程中的行为观察，分析来访者在认知、情绪、行为、社会功能层面的具体改变；</w:t>
      </w:r>
    </w:p>
    <w:p w14:paraId="18C1C88A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6.3效果稳定性：</w:t>
      </w:r>
    </w:p>
    <w:p w14:paraId="2C649B93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若案例已结案，需说明咨询结束后1-3个月的随访结果，验证疗效的持续性（如“随访2个月，来访者社交焦虑症状无复发，能够灵活运用所学技能应对社交压力”）；未结案需注明当前咨询进展及后续计划。</w:t>
      </w:r>
    </w:p>
    <w:p w14:paraId="77492D39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</w:p>
    <w:p w14:paraId="160D5ADB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7案例评价与反思</w:t>
      </w:r>
    </w:p>
    <w:p w14:paraId="7BFE5445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本部分体现咨询师的专业反思能力，需客观全面、有深度，避免泛泛而谈，结合案例实际分析得失，体现专业成长。</w:t>
      </w:r>
    </w:p>
    <w:p w14:paraId="6628DAA4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7.1咨询效果评价：</w:t>
      </w:r>
    </w:p>
    <w:p w14:paraId="3BF6A385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结合咨询目标，客观分析咨询目标的完成情况（如“短期、中期目标全部完成，长期目标基本完成，来访者社会功能已恢复正常”），说明未完成目标的原因（如咨询周期限制、来访者配合度等）。</w:t>
      </w:r>
    </w:p>
    <w:p w14:paraId="4DA6AB50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7.2成功经验总结：</w:t>
      </w:r>
    </w:p>
    <w:p w14:paraId="7141BA6A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总结本案例中有效的咨询策略、技术应用及干预思路（如“跨流派结合：认知行为疗法的认知重构技术快速修正来访者的负性思维，情绪聚焦疗法的情绪疏导有效缓解其情绪压抑，二者结合提升了咨询效果”）。</w:t>
      </w:r>
    </w:p>
    <w:p w14:paraId="4F2495A9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7.3不足与改进方向：</w:t>
      </w:r>
    </w:p>
    <w:p w14:paraId="074B944A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坦诚分析咨询过程中的局限和不足（如“对来访者深层核心信念的挖掘不够深入，行为暴露的梯度设计可更细化，与来访者的家庭系统联动不足”），并提出具体、可操作的改进方向。</w:t>
      </w:r>
    </w:p>
    <w:p w14:paraId="4AB7A31B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7.4专业成长启示：</w:t>
      </w:r>
    </w:p>
    <w:p w14:paraId="0C0952DA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结合本案例谈谈咨询师在理论应用、技术操作、伦理把握、本土化咨询等方面的新认识和专业成长（如“在本土化咨询中，需更关注集体主义文化下来访者‘过度在意他人评价’的认知特点，咨询技术需结合来访者的文化背景进行调整”）。</w:t>
      </w:r>
    </w:p>
    <w:p w14:paraId="797001FA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7.5督导启示：</w:t>
      </w:r>
    </w:p>
    <w:p w14:paraId="197B2CAC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若有督导参与，可分析督导对本案例咨询过程和效果的影响，以及从督导中获得的专业启发。督导是咨询师成长的必备受训经历，没有督导的以后成长和从业中需要培养接受督导的专业受训。</w:t>
      </w:r>
    </w:p>
    <w:p w14:paraId="37333205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</w:p>
    <w:p w14:paraId="0F1D1D25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8参考文献</w:t>
      </w:r>
    </w:p>
    <w:p w14:paraId="148DF1F0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</w:rPr>
        <w:t>引用他人学术成果时，须在报告最后附上相应参考文献。</w:t>
      </w:r>
    </w:p>
    <w:p w14:paraId="232FAE3D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</w:p>
    <w:p w14:paraId="5414CF7B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9附录</w:t>
      </w:r>
    </w:p>
    <w:p w14:paraId="02C1D2C6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9.1知情同意书扫描件（需来访者签字确认，隐去可识别信息）。</w:t>
      </w:r>
    </w:p>
    <w:p w14:paraId="45C40F03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9.2量表施测原始记录（含得分、施测人、施测时间）。</w:t>
      </w:r>
    </w:p>
    <w:p w14:paraId="4C707111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9.3督导证明（督导师签字，注明督导次数、时长、督导核心内容）。</w:t>
      </w:r>
    </w:p>
    <w:p w14:paraId="22DF0808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  <w:lang w:val="en-US" w:eastAsia="zh-CN"/>
        </w:rPr>
        <w:t>9.4咨询过程记录节选（如关键咨询次数的逐字稿片段，隐去可识别信息）。</w:t>
      </w:r>
    </w:p>
    <w:p w14:paraId="7B7A086E">
      <w:pPr>
        <w:pStyle w:val="6"/>
        <w:spacing w:before="156" w:beforeLines="50" w:line="360" w:lineRule="auto"/>
        <w:ind w:firstLine="480" w:firstLineChars="200"/>
        <w:jc w:val="both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  <w:lang w:val="en-US" w:eastAsia="zh-CN"/>
        </w:rPr>
        <w:t>9.5</w:t>
      </w:r>
      <w:r>
        <w:rPr>
          <w:rFonts w:hint="eastAsia" w:ascii="宋体" w:hAnsi="宋体" w:eastAsia="宋体"/>
          <w:color w:val="auto"/>
        </w:rPr>
        <w:t>如有必要，可添加注释以及采用图表解释。</w:t>
      </w:r>
    </w:p>
    <w:p w14:paraId="3B68F4C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2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</w:rPr>
      </w:pPr>
    </w:p>
    <w:p w14:paraId="662C329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2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</w:rPr>
      </w:pPr>
    </w:p>
    <w:p w14:paraId="093390AF">
      <w:pPr>
        <w:widowControl/>
        <w:spacing w:before="156" w:beforeLines="50" w:line="360" w:lineRule="auto"/>
        <w:jc w:val="center"/>
        <w:rPr>
          <w:rFonts w:hint="eastAsia" w:ascii="宋体" w:hAnsi="宋体"/>
          <w:b/>
          <w:sz w:val="28"/>
          <w:szCs w:val="28"/>
        </w:rPr>
      </w:pPr>
    </w:p>
    <w:p w14:paraId="36F78029">
      <w:pPr>
        <w:widowControl/>
        <w:spacing w:before="156" w:beforeLines="50" w:line="360" w:lineRule="auto"/>
        <w:jc w:val="center"/>
        <w:rPr>
          <w:rFonts w:hint="eastAsia" w:ascii="宋体" w:hAnsi="宋体"/>
          <w:b/>
          <w:sz w:val="28"/>
          <w:szCs w:val="28"/>
        </w:rPr>
      </w:pPr>
    </w:p>
    <w:p w14:paraId="2C688A8A">
      <w:pPr>
        <w:widowControl/>
        <w:spacing w:before="156" w:beforeLines="50" w:line="360" w:lineRule="auto"/>
        <w:jc w:val="center"/>
        <w:rPr>
          <w:rFonts w:hint="eastAsia" w:ascii="宋体" w:hAnsi="宋体"/>
          <w:b/>
          <w:sz w:val="28"/>
          <w:szCs w:val="28"/>
        </w:rPr>
      </w:pPr>
    </w:p>
    <w:p w14:paraId="204B1835">
      <w:pPr>
        <w:widowControl/>
        <w:spacing w:before="156" w:beforeLines="50" w:line="360" w:lineRule="auto"/>
        <w:jc w:val="center"/>
        <w:rPr>
          <w:rFonts w:hint="eastAsia" w:ascii="宋体" w:hAnsi="宋体"/>
          <w:b/>
          <w:sz w:val="28"/>
          <w:szCs w:val="28"/>
        </w:rPr>
      </w:pPr>
    </w:p>
    <w:p w14:paraId="3CC5961E">
      <w:pPr>
        <w:widowControl/>
        <w:spacing w:before="156" w:beforeLines="50" w:line="360" w:lineRule="auto"/>
        <w:jc w:val="center"/>
        <w:rPr>
          <w:rFonts w:ascii="宋体" w:hAnsi="宋体" w:eastAsia="宋体"/>
          <w:b/>
        </w:rPr>
      </w:pPr>
      <w:r>
        <w:rPr>
          <w:rFonts w:hint="eastAsia" w:ascii="宋体" w:hAnsi="宋体"/>
          <w:b/>
          <w:sz w:val="28"/>
          <w:szCs w:val="28"/>
        </w:rPr>
        <w:t>二、排版要求</w:t>
      </w:r>
    </w:p>
    <w:p w14:paraId="2AC18068">
      <w:pPr>
        <w:pStyle w:val="6"/>
        <w:spacing w:before="156" w:beforeLines="50" w:line="360" w:lineRule="auto"/>
        <w:ind w:firstLine="602" w:firstLineChars="200"/>
        <w:jc w:val="center"/>
        <w:rPr>
          <w:rFonts w:ascii="宋体" w:hAnsi="宋体" w:eastAsia="宋体"/>
          <w:color w:val="auto"/>
        </w:rPr>
      </w:pPr>
      <w:r>
        <w:rPr>
          <w:rFonts w:hint="eastAsia" w:ascii="黑体" w:hAnsi="黑体" w:eastAsia="黑体" w:cs="黑体"/>
          <w:b/>
          <w:color w:val="auto"/>
          <w:sz w:val="30"/>
          <w:szCs w:val="30"/>
        </w:rPr>
        <w:t>标题</w:t>
      </w:r>
      <w:r>
        <w:rPr>
          <w:rFonts w:hint="eastAsia" w:ascii="宋体" w:hAnsi="宋体" w:eastAsia="宋体"/>
          <w:color w:val="auto"/>
        </w:rPr>
        <w:t>（黑体、加粗、小三）</w:t>
      </w:r>
    </w:p>
    <w:p w14:paraId="48938AEE">
      <w:pPr>
        <w:pStyle w:val="6"/>
        <w:spacing w:before="156" w:beforeLines="50" w:line="360" w:lineRule="auto"/>
        <w:ind w:firstLine="480" w:firstLineChars="200"/>
        <w:jc w:val="both"/>
        <w:rPr>
          <w:rFonts w:ascii="宋体" w:hAnsi="宋体" w:eastAsia="宋体" w:cs="Times New Roman"/>
          <w:color w:val="auto"/>
        </w:rPr>
      </w:pPr>
      <w:r>
        <w:rPr>
          <w:rFonts w:ascii="宋体" w:hAnsi="宋体" w:eastAsia="宋体" w:cs="Times New Roman"/>
          <w:color w:val="auto"/>
        </w:rPr>
        <w:t>1.</w:t>
      </w:r>
      <w:r>
        <w:rPr>
          <w:rFonts w:hint="eastAsia" w:ascii="宋体" w:hAnsi="宋体" w:eastAsia="宋体"/>
          <w:color w:val="auto"/>
        </w:rPr>
        <w:t>摘要和关键词内容全部采用宋体、小四排版，其中</w:t>
      </w:r>
      <w:r>
        <w:rPr>
          <w:rFonts w:ascii="宋体" w:hAnsi="宋体" w:eastAsia="宋体"/>
          <w:color w:val="auto"/>
        </w:rPr>
        <w:t>“</w:t>
      </w:r>
      <w:r>
        <w:rPr>
          <w:rFonts w:hint="eastAsia" w:ascii="宋体" w:hAnsi="宋体" w:eastAsia="宋体"/>
          <w:color w:val="auto"/>
        </w:rPr>
        <w:t>摘要</w:t>
      </w:r>
      <w:r>
        <w:rPr>
          <w:rFonts w:ascii="宋体" w:hAnsi="宋体" w:eastAsia="宋体"/>
          <w:color w:val="auto"/>
        </w:rPr>
        <w:t>”</w:t>
      </w:r>
      <w:r>
        <w:rPr>
          <w:rFonts w:hint="eastAsia" w:ascii="宋体" w:hAnsi="宋体" w:eastAsia="宋体"/>
          <w:color w:val="auto"/>
        </w:rPr>
        <w:t>和</w:t>
      </w:r>
      <w:r>
        <w:rPr>
          <w:rFonts w:ascii="宋体" w:hAnsi="宋体" w:eastAsia="宋体"/>
          <w:color w:val="auto"/>
        </w:rPr>
        <w:t>“</w:t>
      </w:r>
      <w:r>
        <w:rPr>
          <w:rFonts w:hint="eastAsia" w:ascii="宋体" w:hAnsi="宋体" w:eastAsia="宋体"/>
          <w:color w:val="auto"/>
        </w:rPr>
        <w:t>关键词</w:t>
      </w:r>
      <w:r>
        <w:rPr>
          <w:rFonts w:ascii="宋体" w:hAnsi="宋体" w:eastAsia="宋体"/>
          <w:color w:val="auto"/>
        </w:rPr>
        <w:t>”</w:t>
      </w:r>
      <w:r>
        <w:rPr>
          <w:rFonts w:hint="eastAsia" w:ascii="宋体" w:hAnsi="宋体" w:eastAsia="宋体"/>
          <w:color w:val="auto"/>
        </w:rPr>
        <w:t>加粗。</w:t>
      </w:r>
    </w:p>
    <w:p w14:paraId="2EC99142">
      <w:pPr>
        <w:pStyle w:val="6"/>
        <w:spacing w:before="156" w:beforeLines="50" w:line="360" w:lineRule="auto"/>
        <w:ind w:firstLine="480" w:firstLineChars="200"/>
        <w:jc w:val="both"/>
        <w:rPr>
          <w:rFonts w:ascii="宋体" w:hAnsi="宋体" w:eastAsia="宋体" w:cs="Times New Roman"/>
          <w:color w:val="auto"/>
        </w:rPr>
      </w:pPr>
      <w:r>
        <w:rPr>
          <w:rFonts w:ascii="宋体" w:hAnsi="宋体" w:eastAsia="宋体" w:cs="Times New Roman"/>
          <w:color w:val="auto"/>
        </w:rPr>
        <w:t>2</w:t>
      </w:r>
      <w:r>
        <w:rPr>
          <w:rFonts w:hint="eastAsia" w:ascii="宋体" w:hAnsi="宋体" w:eastAsia="宋体"/>
          <w:color w:val="auto"/>
        </w:rPr>
        <w:t>．关键词与正文之间增加一行空格（空格键、小四）。</w:t>
      </w:r>
    </w:p>
    <w:p w14:paraId="5FD257EC">
      <w:pPr>
        <w:pStyle w:val="6"/>
        <w:spacing w:before="156" w:beforeLines="50" w:line="360" w:lineRule="auto"/>
        <w:ind w:firstLine="480" w:firstLineChars="200"/>
        <w:jc w:val="both"/>
        <w:rPr>
          <w:rFonts w:ascii="宋体" w:hAnsi="宋体" w:eastAsia="宋体" w:cs="Times New Roman"/>
          <w:color w:val="auto"/>
        </w:rPr>
      </w:pPr>
      <w:r>
        <w:rPr>
          <w:rFonts w:ascii="宋体" w:hAnsi="宋体" w:eastAsia="宋体" w:cs="Times New Roman"/>
          <w:color w:val="auto"/>
        </w:rPr>
        <w:t>3</w:t>
      </w:r>
      <w:r>
        <w:rPr>
          <w:rFonts w:hint="eastAsia" w:ascii="宋体" w:hAnsi="宋体" w:eastAsia="宋体"/>
          <w:color w:val="auto"/>
        </w:rPr>
        <w:t>．正文一级标题采用宋体、加粗、四号、半角；二级标题采用宋体、加粗、小四、半角；三级标题采用宋体、小四、半角。各级标题采用阿拉伯数字编号（如：</w:t>
      </w:r>
      <w:r>
        <w:rPr>
          <w:rFonts w:ascii="宋体" w:hAnsi="宋体" w:eastAsia="宋体" w:cs="Times New Roman"/>
          <w:color w:val="auto"/>
        </w:rPr>
        <w:t>1</w:t>
      </w:r>
      <w:r>
        <w:rPr>
          <w:rFonts w:hint="eastAsia" w:ascii="宋体" w:hAnsi="宋体" w:eastAsia="宋体"/>
          <w:color w:val="auto"/>
        </w:rPr>
        <w:t>．；</w:t>
      </w:r>
      <w:r>
        <w:rPr>
          <w:rFonts w:ascii="宋体" w:hAnsi="宋体" w:eastAsia="宋体" w:cs="Times New Roman"/>
          <w:color w:val="auto"/>
        </w:rPr>
        <w:t>2</w:t>
      </w:r>
      <w:r>
        <w:rPr>
          <w:rFonts w:hint="eastAsia" w:ascii="宋体" w:hAnsi="宋体" w:eastAsia="宋体"/>
          <w:color w:val="auto"/>
        </w:rPr>
        <w:t>．；</w:t>
      </w:r>
      <w:r>
        <w:rPr>
          <w:rFonts w:ascii="宋体" w:hAnsi="宋体" w:eastAsia="宋体" w:cs="Times New Roman"/>
          <w:color w:val="auto"/>
        </w:rPr>
        <w:t>3</w:t>
      </w:r>
      <w:r>
        <w:rPr>
          <w:rFonts w:hint="eastAsia" w:ascii="宋体" w:hAnsi="宋体" w:eastAsia="宋体"/>
          <w:color w:val="auto"/>
        </w:rPr>
        <w:t>．；…，</w:t>
      </w:r>
      <w:r>
        <w:rPr>
          <w:rFonts w:ascii="宋体" w:hAnsi="宋体" w:eastAsia="宋体" w:cs="Times New Roman"/>
          <w:color w:val="auto"/>
        </w:rPr>
        <w:t>1.1</w:t>
      </w:r>
      <w:r>
        <w:rPr>
          <w:rFonts w:hint="eastAsia" w:ascii="宋体" w:hAnsi="宋体" w:eastAsia="宋体"/>
          <w:color w:val="auto"/>
        </w:rPr>
        <w:t>；</w:t>
      </w:r>
      <w:r>
        <w:rPr>
          <w:rFonts w:ascii="宋体" w:hAnsi="宋体" w:eastAsia="宋体" w:cs="Times New Roman"/>
          <w:color w:val="auto"/>
        </w:rPr>
        <w:t xml:space="preserve"> 1.2</w:t>
      </w:r>
      <w:r>
        <w:rPr>
          <w:rFonts w:hint="eastAsia" w:ascii="宋体" w:hAnsi="宋体" w:eastAsia="宋体"/>
          <w:color w:val="auto"/>
        </w:rPr>
        <w:t>；</w:t>
      </w:r>
      <w:r>
        <w:rPr>
          <w:rFonts w:ascii="宋体" w:hAnsi="宋体" w:eastAsia="宋体" w:cs="Times New Roman"/>
          <w:color w:val="auto"/>
        </w:rPr>
        <w:t>1.3</w:t>
      </w:r>
      <w:r>
        <w:rPr>
          <w:rFonts w:hint="eastAsia" w:ascii="宋体" w:hAnsi="宋体" w:eastAsia="宋体"/>
          <w:color w:val="auto"/>
        </w:rPr>
        <w:t>；…）。</w:t>
      </w:r>
    </w:p>
    <w:p w14:paraId="64B8244E">
      <w:pPr>
        <w:pStyle w:val="6"/>
        <w:spacing w:before="156" w:beforeLines="50" w:line="360" w:lineRule="auto"/>
        <w:ind w:firstLine="480" w:firstLineChars="200"/>
        <w:jc w:val="both"/>
        <w:rPr>
          <w:rFonts w:ascii="宋体" w:hAnsi="宋体" w:eastAsia="宋体"/>
          <w:color w:val="auto"/>
        </w:rPr>
      </w:pPr>
      <w:r>
        <w:rPr>
          <w:rFonts w:ascii="宋体" w:hAnsi="宋体" w:eastAsia="宋体" w:cs="Times New Roman"/>
          <w:color w:val="auto"/>
        </w:rPr>
        <w:t>4</w:t>
      </w:r>
      <w:r>
        <w:rPr>
          <w:rFonts w:hint="eastAsia" w:ascii="宋体" w:hAnsi="宋体" w:eastAsia="宋体"/>
          <w:color w:val="auto"/>
        </w:rPr>
        <w:t>．全文段前与段后</w:t>
      </w:r>
      <w:r>
        <w:rPr>
          <w:rFonts w:ascii="宋体" w:hAnsi="宋体" w:eastAsia="宋体" w:cs="Times New Roman"/>
          <w:color w:val="auto"/>
        </w:rPr>
        <w:t>0.25</w:t>
      </w:r>
      <w:r>
        <w:rPr>
          <w:rFonts w:hint="eastAsia" w:ascii="宋体" w:hAnsi="宋体" w:eastAsia="宋体"/>
          <w:color w:val="auto"/>
        </w:rPr>
        <w:t>行、多倍行距</w:t>
      </w:r>
      <w:r>
        <w:rPr>
          <w:rFonts w:ascii="宋体" w:hAnsi="宋体" w:eastAsia="宋体" w:cs="Times New Roman"/>
          <w:color w:val="auto"/>
        </w:rPr>
        <w:t>1.3</w:t>
      </w:r>
      <w:r>
        <w:rPr>
          <w:rFonts w:hint="eastAsia" w:ascii="宋体" w:hAnsi="宋体" w:eastAsia="宋体"/>
          <w:color w:val="auto"/>
        </w:rPr>
        <w:t>，全文为宋体、小四。</w:t>
      </w:r>
    </w:p>
    <w:p w14:paraId="76A0562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20" w:lineRule="exact"/>
        <w:ind w:left="0" w:right="0"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kern w:val="0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S壵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44A65"/>
    <w:rsid w:val="0F714162"/>
    <w:rsid w:val="15E44A65"/>
    <w:rsid w:val="1C311654"/>
    <w:rsid w:val="1C9B7D29"/>
    <w:rsid w:val="25B41DCF"/>
    <w:rsid w:val="32584AA6"/>
    <w:rsid w:val="34D463A9"/>
    <w:rsid w:val="37D50692"/>
    <w:rsid w:val="4519687B"/>
    <w:rsid w:val="45270E71"/>
    <w:rsid w:val="45421298"/>
    <w:rsid w:val="46963CA0"/>
    <w:rsid w:val="485C4D33"/>
    <w:rsid w:val="4E393586"/>
    <w:rsid w:val="53E915AA"/>
    <w:rsid w:val="654B4A53"/>
    <w:rsid w:val="7F62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S壵...." w:hAnsi="Times New Roman" w:eastAsia="宋体S壵...." w:cs="宋体S壵...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4042</Words>
  <Characters>4259</Characters>
  <Lines>0</Lines>
  <Paragraphs>0</Paragraphs>
  <TotalTime>0</TotalTime>
  <ScaleCrop>false</ScaleCrop>
  <LinksUpToDate>false</LinksUpToDate>
  <CharactersWithSpaces>4261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2026-03-30T23:18:00Z</dcterms:created>
  <dc:creator>肖长根</dc:creator>
  <cp:lastModifiedBy>肖长根</cp:lastModifiedBy>
  <dcterms:modified xsi:type="dcterms:W3CDTF">2026-04-27T12:30:07Z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CC94B71B6F144E2184301CA60C0C2F25_11</vt:lpwstr>
  </property>
  <property fmtid="{D5CDD505-2E9C-101B-9397-08002B2CF9AE}" pid="4" name="KSOTemplateDocerSaveRecord">
    <vt:lpwstr>eyJoZGlkIjoiYjc0ZWQ1MTU0ZjliNWUxZDZkZTg5ODIwY2U1Mzk2YmMiLCJ1c2VySWQiOiI1NzYxNzg3OTUifQ==</vt:lpwstr>
  </property>
</Properties>
</file>