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F6C81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597" w:lineRule="atLeast"/>
        <w:ind w:right="1515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3"/>
          <w:sz w:val="32"/>
          <w:szCs w:val="32"/>
        </w:rPr>
        <w:t>附件3</w:t>
      </w:r>
    </w:p>
    <w:p w14:paraId="4212890D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2026年湖南科技大学潇湘学院</w:t>
      </w:r>
    </w:p>
    <w:p w14:paraId="2D94F738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大学生汉字书写竞赛评分标准</w:t>
      </w:r>
    </w:p>
    <w:bookmarkEnd w:id="0"/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098"/>
        <w:gridCol w:w="6183"/>
      </w:tblGrid>
      <w:tr w14:paraId="39C60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78D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946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9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7B0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书法作品</w:t>
            </w:r>
          </w:p>
        </w:tc>
      </w:tr>
      <w:tr w14:paraId="66769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429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规范性（</w:t>
            </w: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17D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书体（</w:t>
            </w: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BA1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      </w:r>
          </w:p>
        </w:tc>
      </w:tr>
      <w:tr w14:paraId="48B049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0516B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380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书写工具及纸张（</w:t>
            </w: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81D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硬笔可使用铅笔（仅限小学一、二年级学生）、中性笔、钢笔、秀丽笔。硬笔类作品用纸规格不超过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A3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纸大小（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29.7cm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×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42cm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以内）；毛笔类作品用纸规格为四尺三裁至六尺整张宣纸（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46cm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×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69cm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—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95cm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×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180cm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），一律为竖式，不得托裱。手卷、册页等形式不在参赛范围之内。粉笔类作品一律使用白色粉笔，横排横写。</w:t>
            </w:r>
          </w:p>
        </w:tc>
      </w:tr>
      <w:tr w14:paraId="4BE6B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B74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完整性（</w:t>
            </w: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E9B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内容（</w:t>
            </w: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3CA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体现中华优秀文化、爱国情怀以及反映积极向上时代精神的古今诗文、楹联、词语、名言警句等（当代内容应以正式出版或主流媒体公开发表为准）。内容主题须相对完整。</w:t>
            </w:r>
          </w:p>
        </w:tc>
      </w:tr>
      <w:tr w14:paraId="018C9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0E5B0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A56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版面（</w:t>
            </w: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C71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版面整洁，布局合理。书写内容完整、正确，无错别字。</w:t>
            </w:r>
          </w:p>
        </w:tc>
      </w:tr>
      <w:tr w14:paraId="2842C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6EB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艺术性（</w:t>
            </w: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</w:rPr>
              <w:t>40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296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（</w:t>
            </w: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</w:rPr>
              <w:t>40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E26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．点画准确，用笔精熟。</w:t>
            </w:r>
          </w:p>
          <w:p w14:paraId="42E7C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．线条劲健，行笔流畅。</w:t>
            </w:r>
          </w:p>
          <w:p w14:paraId="395BD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．疏密有致，节奏感强。</w:t>
            </w:r>
          </w:p>
          <w:p w14:paraId="0A921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．形神兼备，风格一致。</w:t>
            </w:r>
          </w:p>
        </w:tc>
      </w:tr>
    </w:tbl>
    <w:p w14:paraId="6E330795"/>
    <w:p w14:paraId="35CE00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99CCD8F-6644-4273-B863-9277A3D3B8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5563C6B-43B9-4D97-BA2A-D1EE70A1407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ACAF06C-94A9-4F6E-8667-A83619E1284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0BC0457C-D38B-43FE-9025-CEEDFA9CC6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66F03"/>
    <w:rsid w:val="6326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2026-06-12T05:48:00Z</dcterms:created>
  <dc:creator>小西瓜</dc:creator>
  <cp:lastModifiedBy>小西瓜</cp:lastModifiedBy>
  <dcterms:modified xsi:type="dcterms:W3CDTF">2026-06-12T05:50:48Z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FA347B218FD046F08E2F64F0FBCE13A1_11</vt:lpwstr>
  </property>
  <property fmtid="{D5CDD505-2E9C-101B-9397-08002B2CF9AE}" pid="4" name="KSOTemplateDocerSaveRecord">
    <vt:lpwstr>eyJoZGlkIjoiMzEwNTM5NzYwMDRjMzkwZTVkZjY2ODkwMGIxNGU0OTUiLCJ1c2VySWQiOiIzODU2NjYxNzcifQ==</vt:lpwstr>
  </property>
</Properties>
</file>