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DEA87">
      <w:pPr>
        <w:spacing w:before="159" w:line="219" w:lineRule="auto"/>
        <w:jc w:val="center"/>
        <w:outlineLvl w:val="0"/>
        <w:rPr>
          <w:rFonts w:ascii="宋体" w:hAnsi="宋体" w:eastAsia="宋体" w:cs="宋体"/>
          <w:sz w:val="36"/>
          <w:szCs w:val="36"/>
        </w:rPr>
      </w:pPr>
      <w:r>
        <w:rPr>
          <w:rFonts w:ascii="宋体" w:hAnsi="宋体" w:eastAsia="宋体" w:cs="宋体"/>
          <w:b/>
          <w:bCs/>
          <w:spacing w:val="3"/>
          <w:sz w:val="36"/>
          <w:szCs w:val="36"/>
        </w:rPr>
        <w:t>202</w:t>
      </w:r>
      <w:r>
        <w:rPr>
          <w:rFonts w:hint="eastAsia" w:ascii="宋体" w:hAnsi="宋体" w:eastAsia="宋体" w:cs="宋体"/>
          <w:b/>
          <w:bCs/>
          <w:spacing w:val="3"/>
          <w:sz w:val="36"/>
          <w:szCs w:val="36"/>
          <w:lang w:val="en-US" w:eastAsia="zh-CN"/>
        </w:rPr>
        <w:t>6</w:t>
      </w:r>
      <w:r>
        <w:rPr>
          <w:rFonts w:ascii="宋体" w:hAnsi="宋体" w:eastAsia="宋体" w:cs="宋体"/>
          <w:b/>
          <w:bCs/>
          <w:spacing w:val="3"/>
          <w:sz w:val="36"/>
          <w:szCs w:val="36"/>
        </w:rPr>
        <w:t>年湖南科技大学</w:t>
      </w:r>
      <w:r>
        <w:rPr>
          <w:rFonts w:hint="eastAsia" w:ascii="宋体" w:hAnsi="宋体" w:eastAsia="宋体" w:cs="宋体"/>
          <w:b/>
          <w:bCs/>
          <w:spacing w:val="3"/>
          <w:sz w:val="36"/>
          <w:szCs w:val="36"/>
          <w:lang w:val="en-US" w:eastAsia="zh-CN"/>
        </w:rPr>
        <w:t>潇湘学院</w:t>
      </w:r>
      <w:r>
        <w:rPr>
          <w:rFonts w:ascii="宋体" w:hAnsi="宋体" w:eastAsia="宋体" w:cs="宋体"/>
          <w:b/>
          <w:bCs/>
          <w:spacing w:val="3"/>
          <w:sz w:val="36"/>
          <w:szCs w:val="36"/>
        </w:rPr>
        <w:t>中华经典诵写讲大赛</w:t>
      </w:r>
      <w:r>
        <w:rPr>
          <w:rFonts w:ascii="宋体" w:hAnsi="宋体" w:eastAsia="宋体" w:cs="宋体"/>
          <w:b/>
          <w:bCs/>
          <w:spacing w:val="-5"/>
          <w:sz w:val="36"/>
          <w:szCs w:val="36"/>
        </w:rPr>
        <w:t>“诵读中国”经典诵读竞赛方案</w:t>
      </w:r>
    </w:p>
    <w:p w14:paraId="1DE80DBA">
      <w:pPr>
        <w:spacing w:line="300" w:lineRule="auto"/>
        <w:rPr>
          <w:rFonts w:ascii="Arial"/>
          <w:sz w:val="21"/>
        </w:rPr>
      </w:pPr>
    </w:p>
    <w:p w14:paraId="3715D49D">
      <w:pPr>
        <w:spacing w:line="300" w:lineRule="auto"/>
        <w:rPr>
          <w:rFonts w:ascii="Arial"/>
          <w:sz w:val="21"/>
        </w:rPr>
      </w:pPr>
    </w:p>
    <w:p w14:paraId="45A3C02D">
      <w:pPr>
        <w:pStyle w:val="3"/>
        <w:spacing w:before="101" w:line="335" w:lineRule="auto"/>
        <w:ind w:firstLine="634"/>
        <w:jc w:val="both"/>
      </w:pPr>
      <w:r>
        <w:rPr>
          <w:spacing w:val="11"/>
        </w:rPr>
        <w:t>诵读古今经典，</w:t>
      </w:r>
      <w:r>
        <w:rPr>
          <w:spacing w:val="-83"/>
        </w:rPr>
        <w:t xml:space="preserve"> </w:t>
      </w:r>
      <w:r>
        <w:rPr>
          <w:spacing w:val="11"/>
        </w:rPr>
        <w:t>弘扬中国精神。为传承弘扬中华优</w:t>
      </w:r>
      <w:r>
        <w:rPr>
          <w:spacing w:val="10"/>
        </w:rPr>
        <w:t>秀传统文</w:t>
      </w:r>
      <w:r>
        <w:rPr>
          <w:spacing w:val="14"/>
        </w:rPr>
        <w:t>化，引领社会大众亲近中华经典，增强爱党爱国情怀，根据</w:t>
      </w:r>
      <w:r>
        <w:rPr>
          <w:spacing w:val="14"/>
          <w:sz w:val="30"/>
          <w:szCs w:val="30"/>
        </w:rPr>
        <w:t>湖南</w:t>
      </w:r>
      <w:r>
        <w:rPr>
          <w:spacing w:val="11"/>
          <w:sz w:val="30"/>
          <w:szCs w:val="30"/>
        </w:rPr>
        <w:t>省语言文字工作委员会、湖南省教育厅《关于举办202</w:t>
      </w:r>
      <w:r>
        <w:rPr>
          <w:rFonts w:hint="eastAsia"/>
          <w:spacing w:val="11"/>
          <w:sz w:val="30"/>
          <w:szCs w:val="30"/>
          <w:lang w:val="en-US" w:eastAsia="zh-CN"/>
        </w:rPr>
        <w:t>6</w:t>
      </w:r>
      <w:r>
        <w:rPr>
          <w:spacing w:val="11"/>
          <w:sz w:val="30"/>
          <w:szCs w:val="30"/>
        </w:rPr>
        <w:t>年湖南省</w:t>
      </w:r>
      <w:r>
        <w:rPr>
          <w:spacing w:val="9"/>
          <w:sz w:val="30"/>
          <w:szCs w:val="30"/>
        </w:rPr>
        <w:t>中华经典诵写讲大赛的通知》（</w:t>
      </w:r>
      <w:r>
        <w:rPr>
          <w:rFonts w:hint="eastAsia"/>
          <w:spacing w:val="9"/>
          <w:sz w:val="30"/>
          <w:szCs w:val="30"/>
          <w:lang w:val="en-US" w:eastAsia="zh-CN"/>
        </w:rPr>
        <w:t>湘教通</w:t>
      </w:r>
      <w:r>
        <w:rPr>
          <w:spacing w:val="9"/>
          <w:sz w:val="30"/>
          <w:szCs w:val="30"/>
        </w:rPr>
        <w:t>〔</w:t>
      </w:r>
      <w:r>
        <w:rPr>
          <w:rFonts w:ascii="Times New Roman" w:hAnsi="Times New Roman" w:eastAsia="Times New Roman" w:cs="Times New Roman"/>
          <w:spacing w:val="9"/>
          <w:sz w:val="30"/>
          <w:szCs w:val="30"/>
        </w:rPr>
        <w:t>202</w:t>
      </w:r>
      <w:r>
        <w:rPr>
          <w:rFonts w:hint="eastAsia" w:ascii="Times New Roman" w:hAnsi="Times New Roman" w:eastAsia="宋体" w:cs="Times New Roman"/>
          <w:spacing w:val="9"/>
          <w:sz w:val="30"/>
          <w:szCs w:val="30"/>
          <w:lang w:val="en-US" w:eastAsia="zh-CN"/>
        </w:rPr>
        <w:t>6</w:t>
      </w:r>
      <w:r>
        <w:rPr>
          <w:spacing w:val="9"/>
          <w:sz w:val="30"/>
          <w:szCs w:val="30"/>
        </w:rPr>
        <w:t>〕</w:t>
      </w:r>
      <w:r>
        <w:rPr>
          <w:rFonts w:hint="eastAsia" w:ascii="Times New Roman" w:hAnsi="Times New Roman" w:eastAsia="宋体" w:cs="Times New Roman"/>
          <w:spacing w:val="9"/>
          <w:sz w:val="30"/>
          <w:szCs w:val="30"/>
          <w:lang w:val="en-US" w:eastAsia="zh-CN"/>
        </w:rPr>
        <w:t>87</w:t>
      </w:r>
      <w:r>
        <w:rPr>
          <w:spacing w:val="9"/>
          <w:sz w:val="30"/>
          <w:szCs w:val="30"/>
        </w:rPr>
        <w:t>号</w:t>
      </w:r>
      <w:r>
        <w:rPr>
          <w:spacing w:val="9"/>
        </w:rPr>
        <w:t>）要求，选拔优</w:t>
      </w:r>
      <w:r>
        <w:rPr>
          <w:spacing w:val="13"/>
        </w:rPr>
        <w:t>秀选手参加湖南省“‘诵读中</w:t>
      </w:r>
      <w:r>
        <w:rPr>
          <w:rFonts w:hint="eastAsia"/>
          <w:spacing w:val="13"/>
          <w:lang w:val="en-US" w:eastAsia="zh-CN"/>
        </w:rPr>
        <w:t xml:space="preserve">   </w:t>
      </w:r>
      <w:r>
        <w:rPr>
          <w:spacing w:val="13"/>
        </w:rPr>
        <w:t>国’经典诵读大赛”，我</w:t>
      </w:r>
      <w:r>
        <w:rPr>
          <w:rFonts w:hint="eastAsia"/>
          <w:spacing w:val="13"/>
          <w:lang w:val="en-US" w:eastAsia="zh-CN"/>
        </w:rPr>
        <w:t>院</w:t>
      </w:r>
      <w:r>
        <w:rPr>
          <w:spacing w:val="13"/>
        </w:rPr>
        <w:t>决</w:t>
      </w:r>
      <w:r>
        <w:rPr>
          <w:spacing w:val="12"/>
        </w:rPr>
        <w:t>定举办 202</w:t>
      </w:r>
      <w:r>
        <w:rPr>
          <w:rFonts w:hint="eastAsia"/>
          <w:spacing w:val="12"/>
          <w:lang w:val="en-US" w:eastAsia="zh-CN"/>
        </w:rPr>
        <w:t>6</w:t>
      </w:r>
      <w:r>
        <w:rPr>
          <w:spacing w:val="12"/>
        </w:rPr>
        <w:t>年湖南科技大学</w:t>
      </w:r>
      <w:r>
        <w:rPr>
          <w:rFonts w:hint="eastAsia"/>
          <w:spacing w:val="12"/>
          <w:lang w:val="en-US" w:eastAsia="zh-CN"/>
        </w:rPr>
        <w:t>潇湘学院</w:t>
      </w:r>
      <w:r>
        <w:rPr>
          <w:spacing w:val="12"/>
        </w:rPr>
        <w:t>“诵读中国”经典诵</w:t>
      </w:r>
      <w:r>
        <w:rPr>
          <w:spacing w:val="11"/>
        </w:rPr>
        <w:t>读竞赛，现将有关</w:t>
      </w:r>
      <w:r>
        <w:rPr>
          <w:spacing w:val="-4"/>
        </w:rPr>
        <w:t>事项通知如下：</w:t>
      </w:r>
    </w:p>
    <w:p w14:paraId="668A4F64">
      <w:pPr>
        <w:pStyle w:val="3"/>
        <w:spacing w:line="224" w:lineRule="auto"/>
        <w:ind w:left="653"/>
        <w:outlineLvl w:val="1"/>
        <w:rPr>
          <w:rFonts w:hint="eastAsia" w:eastAsia="仿宋"/>
          <w:lang w:val="en-US" w:eastAsia="zh-CN"/>
        </w:rPr>
      </w:pPr>
      <w:r>
        <w:rPr>
          <w:b/>
          <w:bCs/>
          <w:color w:val="323232"/>
          <w:spacing w:val="-3"/>
        </w:rPr>
        <w:t>一、</w:t>
      </w:r>
      <w:r>
        <w:rPr>
          <w:rFonts w:hint="eastAsia"/>
          <w:b/>
          <w:bCs/>
          <w:color w:val="323232"/>
          <w:spacing w:val="-3"/>
          <w:lang w:eastAsia="zh-CN"/>
        </w:rPr>
        <w:t>组织机构</w:t>
      </w:r>
    </w:p>
    <w:p w14:paraId="12C51990">
      <w:pPr>
        <w:pStyle w:val="3"/>
        <w:spacing w:before="101" w:line="335" w:lineRule="auto"/>
        <w:ind w:firstLine="634"/>
        <w:jc w:val="both"/>
        <w:rPr>
          <w:rFonts w:hint="eastAsia"/>
          <w:spacing w:val="11"/>
          <w:sz w:val="30"/>
          <w:szCs w:val="30"/>
          <w:lang w:val="en-US" w:eastAsia="zh-CN"/>
        </w:rPr>
      </w:pPr>
      <w:r>
        <w:rPr>
          <w:rFonts w:hint="eastAsia"/>
          <w:spacing w:val="11"/>
          <w:sz w:val="30"/>
          <w:szCs w:val="30"/>
          <w:lang w:val="en-US" w:eastAsia="zh-CN"/>
        </w:rPr>
        <w:t>成立湖南科技大学潇湘学院 “诵读中国”经典诵读竞赛组委会，全面负责比赛组织和领导工作。</w:t>
      </w:r>
    </w:p>
    <w:p w14:paraId="1C3A3930">
      <w:pPr>
        <w:pStyle w:val="3"/>
        <w:spacing w:before="101" w:line="335" w:lineRule="auto"/>
        <w:ind w:firstLine="634"/>
        <w:jc w:val="both"/>
        <w:rPr>
          <w:rFonts w:hint="eastAsia"/>
          <w:spacing w:val="11"/>
          <w:sz w:val="30"/>
          <w:szCs w:val="30"/>
          <w:lang w:val="en-US" w:eastAsia="zh-CN"/>
        </w:rPr>
      </w:pPr>
      <w:r>
        <w:rPr>
          <w:rFonts w:hint="eastAsia"/>
          <w:spacing w:val="11"/>
          <w:sz w:val="30"/>
          <w:szCs w:val="30"/>
          <w:lang w:val="en-US" w:eastAsia="zh-CN"/>
        </w:rPr>
        <w:t>主  任：余伟健</w:t>
      </w:r>
    </w:p>
    <w:p w14:paraId="22BDBF2C">
      <w:pPr>
        <w:pStyle w:val="3"/>
        <w:spacing w:before="101" w:line="335" w:lineRule="auto"/>
        <w:ind w:firstLine="634"/>
        <w:jc w:val="both"/>
        <w:rPr>
          <w:rFonts w:hint="eastAsia"/>
          <w:spacing w:val="11"/>
          <w:sz w:val="30"/>
          <w:szCs w:val="30"/>
          <w:lang w:val="en-US" w:eastAsia="zh-CN"/>
        </w:rPr>
      </w:pPr>
      <w:r>
        <w:rPr>
          <w:rFonts w:hint="eastAsia"/>
          <w:spacing w:val="11"/>
          <w:sz w:val="30"/>
          <w:szCs w:val="30"/>
          <w:lang w:val="en-US" w:eastAsia="zh-CN"/>
        </w:rPr>
        <w:t>副主任：刘东海、禹旭才、何正良</w:t>
      </w:r>
    </w:p>
    <w:p w14:paraId="15707F77">
      <w:pPr>
        <w:pStyle w:val="3"/>
        <w:spacing w:before="101" w:line="335" w:lineRule="auto"/>
        <w:ind w:firstLine="634"/>
        <w:jc w:val="both"/>
        <w:rPr>
          <w:rFonts w:hint="eastAsia"/>
          <w:spacing w:val="11"/>
          <w:sz w:val="30"/>
          <w:szCs w:val="30"/>
          <w:lang w:val="en-US" w:eastAsia="zh-CN"/>
        </w:rPr>
      </w:pPr>
      <w:r>
        <w:rPr>
          <w:rFonts w:hint="eastAsia"/>
          <w:spacing w:val="11"/>
          <w:sz w:val="30"/>
          <w:szCs w:val="30"/>
          <w:lang w:val="en-US" w:eastAsia="zh-CN"/>
        </w:rPr>
        <w:t>委  员：陈 述、王超群</w:t>
      </w:r>
    </w:p>
    <w:p w14:paraId="247DB3DB">
      <w:pPr>
        <w:pStyle w:val="3"/>
        <w:spacing w:before="101" w:line="335" w:lineRule="auto"/>
        <w:ind w:firstLine="634"/>
        <w:jc w:val="both"/>
      </w:pPr>
      <w:r>
        <w:rPr>
          <w:rFonts w:hint="eastAsia"/>
          <w:spacing w:val="11"/>
          <w:sz w:val="30"/>
          <w:szCs w:val="30"/>
          <w:lang w:val="en-US" w:eastAsia="zh-CN"/>
        </w:rPr>
        <w:t>秘  书：王  燕、赵晗冰</w:t>
      </w:r>
    </w:p>
    <w:p w14:paraId="72810C3A">
      <w:pPr>
        <w:pStyle w:val="3"/>
        <w:spacing w:before="185" w:line="224" w:lineRule="auto"/>
        <w:ind w:left="650"/>
        <w:outlineLvl w:val="1"/>
      </w:pPr>
      <w:r>
        <w:rPr>
          <w:b/>
          <w:bCs/>
          <w:color w:val="323232"/>
          <w:spacing w:val="2"/>
        </w:rPr>
        <w:t>二、参赛对象</w:t>
      </w:r>
    </w:p>
    <w:p w14:paraId="58205E9A">
      <w:pPr>
        <w:pStyle w:val="3"/>
        <w:spacing w:before="184" w:line="221" w:lineRule="auto"/>
        <w:ind w:left="640"/>
      </w:pPr>
      <w:r>
        <w:rPr>
          <w:color w:val="323232"/>
          <w:spacing w:val="7"/>
        </w:rPr>
        <w:t>湖南科技大学</w:t>
      </w:r>
      <w:r>
        <w:rPr>
          <w:rFonts w:hint="eastAsia"/>
          <w:color w:val="323232"/>
          <w:spacing w:val="7"/>
          <w:lang w:val="en-US" w:eastAsia="zh-CN"/>
        </w:rPr>
        <w:t>潇湘学院</w:t>
      </w:r>
      <w:r>
        <w:rPr>
          <w:color w:val="323232"/>
          <w:spacing w:val="7"/>
        </w:rPr>
        <w:t>在校学生和在职教师。</w:t>
      </w:r>
    </w:p>
    <w:p w14:paraId="2FE616D9">
      <w:pPr>
        <w:pStyle w:val="3"/>
        <w:spacing w:before="191" w:line="332" w:lineRule="auto"/>
        <w:ind w:left="20" w:right="260" w:firstLine="624"/>
      </w:pPr>
      <w:r>
        <w:rPr>
          <w:color w:val="323232"/>
          <w:spacing w:val="16"/>
        </w:rPr>
        <w:t>大赛分为本科生组、教师组</w:t>
      </w:r>
      <w:r>
        <w:rPr>
          <w:rFonts w:hint="eastAsia"/>
          <w:color w:val="323232"/>
          <w:spacing w:val="-1"/>
          <w:lang w:val="en-US" w:eastAsia="zh-CN"/>
        </w:rPr>
        <w:t>2</w:t>
      </w:r>
      <w:r>
        <w:rPr>
          <w:color w:val="323232"/>
          <w:spacing w:val="-1"/>
        </w:rPr>
        <w:t>个组别。</w:t>
      </w:r>
    </w:p>
    <w:p w14:paraId="3AF3B6DB">
      <w:pPr>
        <w:pStyle w:val="3"/>
        <w:spacing w:before="176" w:line="333" w:lineRule="auto"/>
        <w:ind w:left="1" w:right="256" w:firstLine="646"/>
        <w:jc w:val="both"/>
      </w:pPr>
      <w:r>
        <w:rPr>
          <w:color w:val="323232"/>
          <w:spacing w:val="4"/>
        </w:rPr>
        <w:t>每组可个人参赛，也可2人（含）以上组成团队参</w:t>
      </w:r>
      <w:r>
        <w:rPr>
          <w:color w:val="323232"/>
          <w:spacing w:val="3"/>
        </w:rPr>
        <w:t>赛</w:t>
      </w:r>
      <w:r>
        <w:rPr>
          <w:rFonts w:hint="eastAsia"/>
          <w:color w:val="323232"/>
          <w:spacing w:val="3"/>
          <w:lang w:val="en-US" w:eastAsia="zh-CN"/>
        </w:rPr>
        <w:t xml:space="preserve">   </w:t>
      </w:r>
      <w:r>
        <w:rPr>
          <w:color w:val="323232"/>
          <w:spacing w:val="3"/>
        </w:rPr>
        <w:t>（不</w:t>
      </w:r>
      <w:r>
        <w:rPr>
          <w:color w:val="323232"/>
          <w:spacing w:val="6"/>
        </w:rPr>
        <w:t>超过30人</w:t>
      </w:r>
      <w:r>
        <w:rPr>
          <w:color w:val="323232"/>
          <w:spacing w:val="25"/>
        </w:rPr>
        <w:t>），</w:t>
      </w:r>
      <w:r>
        <w:rPr>
          <w:color w:val="323232"/>
          <w:spacing w:val="6"/>
        </w:rPr>
        <w:t>参赛过程中人员不得替换、不得增加</w:t>
      </w:r>
      <w:r>
        <w:rPr>
          <w:rFonts w:hint="eastAsia"/>
          <w:color w:val="323232"/>
          <w:spacing w:val="8"/>
          <w:lang w:eastAsia="zh-CN"/>
        </w:rPr>
        <w:t>，</w:t>
      </w:r>
      <w:r>
        <w:rPr>
          <w:rFonts w:hint="eastAsia"/>
          <w:color w:val="323232"/>
          <w:spacing w:val="8"/>
          <w:lang w:val="en-US" w:eastAsia="zh-CN"/>
        </w:rPr>
        <w:t>不得跨组别参赛</w:t>
      </w:r>
      <w:r>
        <w:rPr>
          <w:color w:val="323232"/>
          <w:spacing w:val="8"/>
        </w:rPr>
        <w:t>。</w:t>
      </w:r>
    </w:p>
    <w:p w14:paraId="0914FFB9">
      <w:pPr>
        <w:pStyle w:val="3"/>
        <w:spacing w:before="186" w:line="333" w:lineRule="auto"/>
        <w:ind w:left="42" w:right="294" w:firstLine="612"/>
        <w:jc w:val="both"/>
        <w:rPr>
          <w:b/>
          <w:bCs/>
          <w:color w:val="323232"/>
          <w:spacing w:val="5"/>
        </w:rPr>
      </w:pPr>
      <w:r>
        <w:rPr>
          <w:b/>
          <w:bCs/>
          <w:color w:val="323232"/>
          <w:spacing w:val="5"/>
        </w:rPr>
        <w:t>三、参赛要求</w:t>
      </w:r>
    </w:p>
    <w:p w14:paraId="12B3E031">
      <w:pPr>
        <w:pStyle w:val="3"/>
        <w:spacing w:before="186" w:line="333" w:lineRule="auto"/>
        <w:ind w:left="42" w:right="294" w:firstLine="612"/>
        <w:jc w:val="both"/>
        <w:rPr>
          <w:color w:val="323232"/>
          <w:spacing w:val="5"/>
        </w:rPr>
      </w:pPr>
      <w:r>
        <w:rPr>
          <w:color w:val="323232"/>
          <w:spacing w:val="5"/>
        </w:rPr>
        <w:t>（一）内容要求</w:t>
      </w:r>
    </w:p>
    <w:p w14:paraId="1B5BA627">
      <w:pPr>
        <w:pStyle w:val="3"/>
        <w:spacing w:before="186" w:line="333" w:lineRule="auto"/>
        <w:ind w:left="42" w:right="294" w:firstLine="612"/>
        <w:jc w:val="both"/>
        <w:rPr>
          <w:color w:val="323232"/>
          <w:spacing w:val="5"/>
        </w:rPr>
      </w:pPr>
      <w:r>
        <w:rPr>
          <w:color w:val="323232"/>
          <w:spacing w:val="5"/>
        </w:rPr>
        <w:t>我国古代、近现代和当代有社会影响力和典范价值</w:t>
      </w:r>
      <w:r>
        <w:rPr>
          <w:rFonts w:hint="eastAsia"/>
          <w:color w:val="323232"/>
          <w:spacing w:val="5"/>
          <w:lang w:val="en-US" w:eastAsia="zh-CN"/>
        </w:rPr>
        <w:t xml:space="preserve"> </w:t>
      </w:r>
      <w:r>
        <w:rPr>
          <w:color w:val="323232"/>
          <w:spacing w:val="5"/>
        </w:rPr>
        <w:t>的，体现中华优秀文化的经典诗词、文章、优秀图书内容节选，以及各级非物质文化遗产代表性项目名录中的民间文学类项目。当代作品应已正式出版或由省级以上广播电视等主流媒体公开发布或发表，出版、发表时间 2 年以上并被广泛传播。诵读文本主体前后可根据需要增加总计不超过 200 字的过渡语（计入总时长）。不得将多部经典作品拼凑或混合编排，改编、网络以及自创文本不在征集之列。</w:t>
      </w:r>
    </w:p>
    <w:p w14:paraId="724264C8">
      <w:pPr>
        <w:pStyle w:val="3"/>
        <w:spacing w:before="1" w:line="224" w:lineRule="auto"/>
        <w:ind w:left="640"/>
      </w:pPr>
      <w:r>
        <w:rPr>
          <w:color w:val="323232"/>
          <w:spacing w:val="5"/>
        </w:rPr>
        <w:t>（二）形式要求</w:t>
      </w:r>
    </w:p>
    <w:p w14:paraId="53749E15">
      <w:pPr>
        <w:pStyle w:val="3"/>
        <w:spacing w:before="186" w:line="333" w:lineRule="auto"/>
        <w:ind w:left="42" w:right="294" w:firstLine="612"/>
        <w:jc w:val="both"/>
        <w:rPr>
          <w:color w:val="323232"/>
          <w:spacing w:val="5"/>
        </w:rPr>
      </w:pPr>
      <w:r>
        <w:rPr>
          <w:color w:val="323232"/>
          <w:spacing w:val="5"/>
        </w:rPr>
        <w:t>参赛作品要求为 2026 年新创作录制的视频，高清 1920×1080 横屏拍摄，格式为 MP4，长度为 3－6 分钟，大小不超过 700MB，图像、声音清晰，不抖动、无噪音。视频作品必须同期录音，不得后期配音、修音。录制仅限一个场地，不得切换多个场地。</w:t>
      </w:r>
    </w:p>
    <w:p w14:paraId="4B41F927">
      <w:pPr>
        <w:pStyle w:val="3"/>
        <w:spacing w:before="186" w:line="333" w:lineRule="auto"/>
        <w:ind w:left="42" w:right="294" w:firstLine="612"/>
        <w:jc w:val="both"/>
        <w:rPr>
          <w:color w:val="323232"/>
          <w:spacing w:val="5"/>
        </w:rPr>
      </w:pPr>
      <w:r>
        <w:rPr>
          <w:color w:val="323232"/>
          <w:spacing w:val="5"/>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作品进入评审</w:t>
      </w:r>
      <w:r>
        <w:rPr>
          <w:color w:val="323232"/>
          <w:spacing w:val="2"/>
        </w:rPr>
        <w:t>阶段后，相关信息不得更改。</w:t>
      </w:r>
    </w:p>
    <w:p w14:paraId="56E44CFB">
      <w:pPr>
        <w:pStyle w:val="3"/>
        <w:spacing w:before="1" w:line="222" w:lineRule="auto"/>
        <w:ind w:left="640"/>
      </w:pPr>
      <w:r>
        <w:rPr>
          <w:color w:val="323232"/>
          <w:spacing w:val="5"/>
        </w:rPr>
        <w:t>（三）其他要求</w:t>
      </w:r>
    </w:p>
    <w:p w14:paraId="2F646C48">
      <w:pPr>
        <w:pStyle w:val="3"/>
        <w:spacing w:before="186" w:line="333" w:lineRule="auto"/>
        <w:ind w:left="42" w:right="294" w:firstLine="612"/>
        <w:jc w:val="both"/>
        <w:rPr>
          <w:color w:val="323232"/>
          <w:spacing w:val="5"/>
        </w:rPr>
      </w:pPr>
      <w:r>
        <w:rPr>
          <w:color w:val="323232"/>
          <w:spacing w:val="5"/>
        </w:rPr>
        <w:t>诵读须使用普通话，在以诵读为主的基础上，可适当借助吟诵、音乐等手段融合展现诵读内容。鼓励展现地域、民族语言文化的作品。鼓励以团队形式诵读，团队人数不超过 20 人。</w:t>
      </w:r>
    </w:p>
    <w:p w14:paraId="0CD15CB9">
      <w:pPr>
        <w:pStyle w:val="3"/>
        <w:spacing w:before="186" w:line="333" w:lineRule="auto"/>
        <w:ind w:left="42" w:right="294" w:firstLine="612"/>
        <w:jc w:val="both"/>
        <w:rPr>
          <w:color w:val="323232"/>
          <w:spacing w:val="5"/>
        </w:rPr>
      </w:pPr>
      <w:r>
        <w:rPr>
          <w:color w:val="323232"/>
          <w:spacing w:val="5"/>
        </w:rPr>
        <w:t>诵读作品的参赛者仅限诵读人员，伴奏、摄像等人员均不作为参赛者。每位参赛者最多可参与个人和团队诵读作品各 1 件。每件作品指导教师不超过 2 人，1 名指导教师最多可指导 2 件作品。同一作品的参赛者不得同时署名该作品的指导教师。指导教师应当具备相应的专业能力，能为参赛者提供专业指导。</w:t>
      </w:r>
    </w:p>
    <w:p w14:paraId="4F060F95">
      <w:pPr>
        <w:pStyle w:val="3"/>
        <w:spacing w:before="186" w:line="333" w:lineRule="auto"/>
        <w:ind w:left="42" w:right="294" w:firstLine="612"/>
        <w:jc w:val="both"/>
        <w:rPr>
          <w:color w:val="323232"/>
          <w:spacing w:val="5"/>
        </w:rPr>
      </w:pPr>
      <w:r>
        <w:rPr>
          <w:color w:val="323232"/>
          <w:spacing w:val="5"/>
        </w:rPr>
        <w:t>参赛者应使用规范汉字准确填写姓名、作品名称、所在单位或学校等信息。作品一经上传后，相关信息不得更改。</w:t>
      </w:r>
    </w:p>
    <w:p w14:paraId="748C5F78">
      <w:pPr>
        <w:pStyle w:val="3"/>
        <w:spacing w:before="189" w:line="224" w:lineRule="auto"/>
        <w:ind w:left="671"/>
        <w:outlineLvl w:val="1"/>
      </w:pPr>
      <w:r>
        <w:rPr>
          <w:b/>
          <w:bCs/>
          <w:spacing w:val="-1"/>
        </w:rPr>
        <w:t>四、赛程安排</w:t>
      </w:r>
    </w:p>
    <w:p w14:paraId="4E4EFB0F">
      <w:pPr>
        <w:spacing w:before="170" w:line="420" w:lineRule="exact"/>
        <w:ind w:left="619"/>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（一）初赛：7 月 17 日前</w:t>
      </w:r>
    </w:p>
    <w:p w14:paraId="5684F0D6">
      <w:pPr>
        <w:pStyle w:val="3"/>
        <w:spacing w:before="227" w:line="348" w:lineRule="auto"/>
        <w:ind w:left="16" w:right="235" w:firstLine="610"/>
        <w:jc w:val="both"/>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初赛在湖南省教育厅官方 APP “湖南教育发布”开通报名参赛通道。</w:t>
      </w:r>
    </w:p>
    <w:p w14:paraId="49F16490">
      <w:pPr>
        <w:pStyle w:val="3"/>
        <w:spacing w:line="419" w:lineRule="exact"/>
        <w:ind w:left="652"/>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1.报名参赛（6 月 17 日－6 月28 日）</w:t>
      </w:r>
    </w:p>
    <w:p w14:paraId="04527BAA">
      <w:pPr>
        <w:pStyle w:val="3"/>
        <w:spacing w:before="230" w:line="348" w:lineRule="auto"/>
        <w:ind w:right="235" w:firstLine="633"/>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 xml:space="preserve">参赛者需登录第八届中华经典诵写讲大赛官网（网址： </w:t>
      </w:r>
      <w:r>
        <w:rPr>
          <w:rFonts w:ascii="仿宋" w:hAnsi="仿宋" w:eastAsia="仿宋" w:cs="仿宋"/>
          <w:snapToGrid w:val="0"/>
          <w:color w:val="323232"/>
          <w:spacing w:val="5"/>
          <w:kern w:val="0"/>
          <w:sz w:val="31"/>
          <w:szCs w:val="31"/>
          <w:lang w:val="en-US" w:eastAsia="en-US" w:bidi="ar-SA"/>
        </w:rPr>
        <w:fldChar w:fldCharType="begin"/>
      </w:r>
      <w:r>
        <w:rPr>
          <w:rFonts w:ascii="仿宋" w:hAnsi="仿宋" w:eastAsia="仿宋" w:cs="仿宋"/>
          <w:snapToGrid w:val="0"/>
          <w:color w:val="323232"/>
          <w:spacing w:val="5"/>
          <w:kern w:val="0"/>
          <w:sz w:val="31"/>
          <w:szCs w:val="31"/>
          <w:lang w:val="en-US" w:eastAsia="en-US" w:bidi="ar-SA"/>
        </w:rPr>
        <w:instrText xml:space="preserve"> HYPERLINK "https://jdsxj.eduyun.cn" </w:instrText>
      </w:r>
      <w:r>
        <w:rPr>
          <w:rFonts w:ascii="仿宋" w:hAnsi="仿宋" w:eastAsia="仿宋" w:cs="仿宋"/>
          <w:snapToGrid w:val="0"/>
          <w:color w:val="323232"/>
          <w:spacing w:val="5"/>
          <w:kern w:val="0"/>
          <w:sz w:val="31"/>
          <w:szCs w:val="31"/>
          <w:lang w:val="en-US" w:eastAsia="en-US" w:bidi="ar-SA"/>
        </w:rPr>
        <w:fldChar w:fldCharType="separate"/>
      </w:r>
      <w:r>
        <w:rPr>
          <w:rFonts w:ascii="仿宋" w:hAnsi="仿宋" w:eastAsia="仿宋" w:cs="仿宋"/>
          <w:snapToGrid w:val="0"/>
          <w:color w:val="323232"/>
          <w:spacing w:val="5"/>
          <w:kern w:val="0"/>
          <w:sz w:val="31"/>
          <w:szCs w:val="31"/>
          <w:lang w:val="en-US" w:eastAsia="en-US" w:bidi="ar-SA"/>
        </w:rPr>
        <w:t>https://jdsxj.eduyun.cn</w:t>
      </w:r>
      <w:r>
        <w:rPr>
          <w:rFonts w:ascii="仿宋" w:hAnsi="仿宋" w:eastAsia="仿宋" w:cs="仿宋"/>
          <w:snapToGrid w:val="0"/>
          <w:color w:val="323232"/>
          <w:spacing w:val="5"/>
          <w:kern w:val="0"/>
          <w:sz w:val="31"/>
          <w:szCs w:val="31"/>
          <w:lang w:val="en-US" w:eastAsia="en-US" w:bidi="ar-SA"/>
        </w:rPr>
        <w:fldChar w:fldCharType="end"/>
      </w:r>
      <w:r>
        <w:rPr>
          <w:rFonts w:ascii="仿宋" w:hAnsi="仿宋" w:eastAsia="仿宋" w:cs="仿宋"/>
          <w:snapToGrid w:val="0"/>
          <w:color w:val="323232"/>
          <w:spacing w:val="5"/>
          <w:kern w:val="0"/>
          <w:sz w:val="31"/>
          <w:szCs w:val="31"/>
          <w:lang w:val="en-US" w:eastAsia="en-US" w:bidi="ar-SA"/>
        </w:rPr>
        <w:t xml:space="preserve"> ）参加语言文化知识及诵读常识测评，每人可进行多次测评，系统取最高分为最终成绩（不计入复赛），60 分以上测评合格者方可获得参赛资格（需截图保留测评合格页面，作为大赛报名材料）。</w:t>
      </w:r>
    </w:p>
    <w:p w14:paraId="61ADE6AE">
      <w:pPr>
        <w:spacing w:line="329" w:lineRule="auto"/>
        <w:ind w:firstLine="640" w:firstLineChars="200"/>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参赛者使用语言文化知识及诵读常识测评合格的注册手机号码下载登录“湖南教育发布”APP，点击“热点活动”板块，进入 2026年湖南省中华经典诵写讲大赛专栏，根据 “诵读中国”经典诵读大赛  “高校报名通道”的页面提示填写报名信息，并按照要求上传参赛视频，以团队形式参赛的选 1 名代表登录即可，请勿重复填报、上传。参赛者也可通过微信直接扫描下方二维码报名参赛。</w:t>
      </w:r>
    </w:p>
    <w:p w14:paraId="7DFBF8EA">
      <w:pPr>
        <w:spacing w:line="2241" w:lineRule="exact"/>
        <w:ind w:firstLine="3213"/>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drawing>
          <wp:inline distT="0" distB="0" distL="0" distR="0">
            <wp:extent cx="1423035" cy="1423035"/>
            <wp:effectExtent l="0" t="0" r="5715" b="5715"/>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7"/>
                    <a:stretch>
                      <a:fillRect/>
                    </a:stretch>
                  </pic:blipFill>
                  <pic:spPr>
                    <a:xfrm>
                      <a:off x="0" y="0"/>
                      <a:ext cx="1423391" cy="1423391"/>
                    </a:xfrm>
                    <a:prstGeom prst="rect">
                      <a:avLst/>
                    </a:prstGeom>
                  </pic:spPr>
                </pic:pic>
              </a:graphicData>
            </a:graphic>
          </wp:inline>
        </w:drawing>
      </w:r>
    </w:p>
    <w:p w14:paraId="3F63654E">
      <w:pPr>
        <w:pStyle w:val="3"/>
        <w:spacing w:before="232" w:line="420" w:lineRule="exact"/>
        <w:ind w:left="625"/>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2.作品初核（6 月29 日－7 月 1 日）</w:t>
      </w:r>
    </w:p>
    <w:p w14:paraId="793E0B83">
      <w:pPr>
        <w:pStyle w:val="3"/>
        <w:spacing w:before="224" w:line="352" w:lineRule="auto"/>
        <w:ind w:left="13" w:firstLine="631"/>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各高等学校报名通道作品由大赛组委会组织专家进行审核。凡与大赛基本要求不符的，视为无效作品，不能取得参赛资格。</w:t>
      </w:r>
    </w:p>
    <w:p w14:paraId="46124DB8">
      <w:pPr>
        <w:pStyle w:val="3"/>
        <w:spacing w:line="419" w:lineRule="exact"/>
        <w:ind w:left="632"/>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3.初赛评选（7 月 17 日前）</w:t>
      </w:r>
    </w:p>
    <w:p w14:paraId="7C02684E">
      <w:pPr>
        <w:pStyle w:val="3"/>
        <w:spacing w:before="233" w:line="352" w:lineRule="auto"/>
        <w:ind w:left="14" w:right="44" w:firstLine="615"/>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学校评选大学生组（含研究生）教师组</w:t>
      </w:r>
      <w:r>
        <w:rPr>
          <w:rFonts w:hint="eastAsia" w:cs="仿宋"/>
          <w:snapToGrid w:val="0"/>
          <w:color w:val="323232"/>
          <w:spacing w:val="5"/>
          <w:kern w:val="0"/>
          <w:sz w:val="31"/>
          <w:szCs w:val="31"/>
          <w:lang w:val="en-US" w:eastAsia="zh-CN" w:bidi="ar-SA"/>
        </w:rPr>
        <w:t>2</w:t>
      </w:r>
      <w:r>
        <w:rPr>
          <w:rFonts w:ascii="仿宋" w:hAnsi="仿宋" w:eastAsia="仿宋" w:cs="仿宋"/>
          <w:snapToGrid w:val="0"/>
          <w:color w:val="323232"/>
          <w:spacing w:val="5"/>
          <w:kern w:val="0"/>
          <w:sz w:val="31"/>
          <w:szCs w:val="31"/>
          <w:lang w:val="en-US" w:eastAsia="en-US" w:bidi="ar-SA"/>
        </w:rPr>
        <w:t>个组别。学校诵读大赛参赛作品信息表由大赛组委会提供。学校组织专家秉承公开、公正、公平的原则对作品进行分组评审，选拔出复赛作品，并形成诵读大赛复赛作品信息表。团队参赛作品总数占比不低于50%。</w:t>
      </w:r>
    </w:p>
    <w:p w14:paraId="24B7028E">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大赛组委会将根据各地各单位当年报名参赛总数，同时结合上年度国赛获奖作品情况，按比例确定复赛名额。</w:t>
      </w:r>
    </w:p>
    <w:p w14:paraId="2FCBC82B">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4.提交资料（7 月 19 日前）</w:t>
      </w:r>
    </w:p>
    <w:p w14:paraId="3CE4874C">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初赛评选完成后，学校将核对无误后的诵读大赛复赛作品信息表Excel电子版及加盖公章扫描版（PDF格式）于7月19日前发送至 指定邮箱（</w:t>
      </w:r>
      <w:r>
        <w:rPr>
          <w:rFonts w:ascii="仿宋" w:hAnsi="仿宋" w:eastAsia="仿宋" w:cs="仿宋"/>
          <w:snapToGrid w:val="0"/>
          <w:color w:val="323232"/>
          <w:spacing w:val="5"/>
          <w:kern w:val="0"/>
          <w:sz w:val="31"/>
          <w:szCs w:val="31"/>
          <w:lang w:val="en-US" w:eastAsia="en-US" w:bidi="ar-SA"/>
        </w:rPr>
        <w:fldChar w:fldCharType="begin"/>
      </w:r>
      <w:r>
        <w:rPr>
          <w:rFonts w:ascii="仿宋" w:hAnsi="仿宋" w:eastAsia="仿宋" w:cs="仿宋"/>
          <w:snapToGrid w:val="0"/>
          <w:color w:val="323232"/>
          <w:spacing w:val="5"/>
          <w:kern w:val="0"/>
          <w:sz w:val="31"/>
          <w:szCs w:val="31"/>
          <w:lang w:val="en-US" w:eastAsia="en-US" w:bidi="ar-SA"/>
        </w:rPr>
        <w:instrText xml:space="preserve"> HYPERLINK "mailto:446926116@qq.com。" </w:instrText>
      </w:r>
      <w:r>
        <w:rPr>
          <w:rFonts w:ascii="仿宋" w:hAnsi="仿宋" w:eastAsia="仿宋" w:cs="仿宋"/>
          <w:snapToGrid w:val="0"/>
          <w:color w:val="323232"/>
          <w:spacing w:val="5"/>
          <w:kern w:val="0"/>
          <w:sz w:val="31"/>
          <w:szCs w:val="31"/>
          <w:lang w:val="en-US" w:eastAsia="en-US" w:bidi="ar-SA"/>
        </w:rPr>
        <w:fldChar w:fldCharType="separate"/>
      </w:r>
      <w:r>
        <w:rPr>
          <w:rFonts w:ascii="仿宋" w:hAnsi="仿宋" w:eastAsia="仿宋" w:cs="仿宋"/>
          <w:snapToGrid w:val="0"/>
          <w:color w:val="323232"/>
          <w:spacing w:val="5"/>
          <w:kern w:val="0"/>
          <w:sz w:val="31"/>
          <w:szCs w:val="31"/>
          <w:lang w:val="en-US" w:eastAsia="en-US" w:bidi="ar-SA"/>
        </w:rPr>
        <w:t>yczxsyfzb2023@163.com</w:t>
      </w:r>
      <w:r>
        <w:rPr>
          <w:rFonts w:ascii="仿宋" w:hAnsi="仿宋" w:eastAsia="仿宋" w:cs="仿宋"/>
          <w:snapToGrid w:val="0"/>
          <w:color w:val="323232"/>
          <w:spacing w:val="5"/>
          <w:kern w:val="0"/>
          <w:sz w:val="31"/>
          <w:szCs w:val="31"/>
          <w:lang w:val="en-US" w:eastAsia="en-US" w:bidi="ar-SA"/>
        </w:rPr>
        <w:fldChar w:fldCharType="end"/>
      </w:r>
      <w:r>
        <w:rPr>
          <w:rFonts w:ascii="仿宋" w:hAnsi="仿宋" w:eastAsia="仿宋" w:cs="仿宋"/>
          <w:snapToGrid w:val="0"/>
          <w:color w:val="323232"/>
          <w:spacing w:val="5"/>
          <w:kern w:val="0"/>
          <w:sz w:val="31"/>
          <w:szCs w:val="31"/>
          <w:lang w:val="en-US" w:eastAsia="en-US" w:bidi="ar-SA"/>
        </w:rPr>
        <w:t>），邮箱标题格式为“单位+诵读大赛复赛作品信息表”。</w:t>
      </w:r>
    </w:p>
    <w:p w14:paraId="13FA40E1">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（二）复赛：7 月 27 日前</w:t>
      </w:r>
    </w:p>
    <w:p w14:paraId="0CF3BB02">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专家评选：大赛组委会组织专家秉承公开、公正、公平的原则，对复赛入围作品进行分组评审。</w:t>
      </w:r>
    </w:p>
    <w:p w14:paraId="15520914">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（三）推送国赛：8 月 5 日前</w:t>
      </w:r>
    </w:p>
    <w:p w14:paraId="02E56EA0">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大赛组委会挑选优秀作品推荐至教育部、国家语委主办的第八届中华经典诵写讲大赛（另行通知）。</w:t>
      </w:r>
    </w:p>
    <w:p w14:paraId="4CB16440">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（四）决赛：12 月前</w:t>
      </w:r>
    </w:p>
    <w:p w14:paraId="50D2FECF">
      <w:pPr>
        <w:spacing w:line="373" w:lineRule="auto"/>
        <w:ind w:firstLine="640" w:firstLineChars="200"/>
      </w:pPr>
      <w:r>
        <w:rPr>
          <w:rFonts w:ascii="仿宋" w:hAnsi="仿宋" w:eastAsia="仿宋" w:cs="仿宋"/>
          <w:snapToGrid w:val="0"/>
          <w:color w:val="323232"/>
          <w:spacing w:val="5"/>
          <w:kern w:val="0"/>
          <w:sz w:val="31"/>
          <w:szCs w:val="31"/>
          <w:lang w:val="en-US" w:eastAsia="en-US" w:bidi="ar-SA"/>
        </w:rPr>
        <w:t>考虑到推普工作的群众性、广泛性和影响力，大赛组委会将从各组别获省级复赛一等奖的参赛作品中遴选出部分集体作品和个人作品参加省级决赛。</w:t>
      </w:r>
    </w:p>
    <w:p w14:paraId="5425F51A">
      <w:pPr>
        <w:pStyle w:val="3"/>
        <w:spacing w:before="322" w:line="224" w:lineRule="auto"/>
        <w:ind w:left="629"/>
        <w:outlineLvl w:val="1"/>
      </w:pPr>
      <w:r>
        <w:rPr>
          <w:b/>
          <w:bCs/>
          <w:spacing w:val="-2"/>
        </w:rPr>
        <w:t>五、奖励设置</w:t>
      </w:r>
    </w:p>
    <w:p w14:paraId="2E545954">
      <w:pPr>
        <w:pStyle w:val="4"/>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仿宋" w:hAnsi="仿宋" w:eastAsia="仿宋" w:cs="仿宋"/>
          <w:snapToGrid w:val="0"/>
          <w:color w:val="323232"/>
          <w:spacing w:val="5"/>
          <w:kern w:val="0"/>
          <w:sz w:val="31"/>
          <w:szCs w:val="31"/>
          <w:lang w:val="en-US" w:eastAsia="zh-CN" w:bidi="ar-SA"/>
        </w:rPr>
      </w:pPr>
      <w:r>
        <w:rPr>
          <w:rFonts w:hint="default" w:ascii="仿宋" w:hAnsi="仿宋" w:eastAsia="仿宋" w:cs="仿宋"/>
          <w:snapToGrid w:val="0"/>
          <w:color w:val="323232"/>
          <w:spacing w:val="5"/>
          <w:kern w:val="0"/>
          <w:sz w:val="31"/>
          <w:szCs w:val="31"/>
          <w:lang w:val="en-US" w:eastAsia="zh-CN" w:bidi="ar-SA"/>
        </w:rPr>
        <w:t>（一）</w:t>
      </w:r>
      <w:r>
        <w:rPr>
          <w:rFonts w:hint="eastAsia" w:ascii="仿宋" w:hAnsi="仿宋" w:eastAsia="仿宋" w:cs="仿宋"/>
          <w:snapToGrid w:val="0"/>
          <w:color w:val="323232"/>
          <w:spacing w:val="5"/>
          <w:kern w:val="0"/>
          <w:sz w:val="31"/>
          <w:szCs w:val="31"/>
          <w:lang w:val="en-US" w:eastAsia="zh-CN" w:bidi="ar-SA"/>
        </w:rPr>
        <w:t>初赛</w:t>
      </w:r>
      <w:r>
        <w:rPr>
          <w:rFonts w:hint="default" w:ascii="仿宋" w:hAnsi="仿宋" w:eastAsia="仿宋" w:cs="仿宋"/>
          <w:snapToGrid w:val="0"/>
          <w:color w:val="323232"/>
          <w:spacing w:val="5"/>
          <w:kern w:val="0"/>
          <w:sz w:val="31"/>
          <w:szCs w:val="31"/>
          <w:lang w:val="en-US" w:eastAsia="zh-CN" w:bidi="ar-SA"/>
        </w:rPr>
        <w:t>每组分设一、二、三等奖，获奖比例</w:t>
      </w:r>
      <w:r>
        <w:rPr>
          <w:rFonts w:hint="eastAsia" w:ascii="仿宋" w:hAnsi="仿宋" w:eastAsia="仿宋" w:cs="仿宋"/>
          <w:snapToGrid w:val="0"/>
          <w:color w:val="323232"/>
          <w:spacing w:val="5"/>
          <w:kern w:val="0"/>
          <w:sz w:val="31"/>
          <w:szCs w:val="31"/>
          <w:lang w:val="en-US" w:eastAsia="zh-CN" w:bidi="ar-SA"/>
        </w:rPr>
        <w:t>原则上</w:t>
      </w:r>
      <w:r>
        <w:rPr>
          <w:rFonts w:hint="default" w:ascii="仿宋" w:hAnsi="仿宋" w:eastAsia="仿宋" w:cs="仿宋"/>
          <w:snapToGrid w:val="0"/>
          <w:color w:val="323232"/>
          <w:spacing w:val="5"/>
          <w:kern w:val="0"/>
          <w:sz w:val="31"/>
          <w:szCs w:val="31"/>
          <w:lang w:val="en-US" w:eastAsia="zh-CN" w:bidi="ar-SA"/>
        </w:rPr>
        <w:t>不超过</w:t>
      </w:r>
      <w:r>
        <w:rPr>
          <w:rFonts w:hint="eastAsia" w:ascii="仿宋" w:hAnsi="仿宋" w:eastAsia="仿宋" w:cs="仿宋"/>
          <w:snapToGrid w:val="0"/>
          <w:color w:val="323232"/>
          <w:spacing w:val="5"/>
          <w:kern w:val="0"/>
          <w:sz w:val="31"/>
          <w:szCs w:val="31"/>
          <w:lang w:val="en-US" w:eastAsia="zh-CN" w:bidi="ar-SA"/>
        </w:rPr>
        <w:t>10</w:t>
      </w:r>
      <w:r>
        <w:rPr>
          <w:rFonts w:hint="default" w:ascii="仿宋" w:hAnsi="仿宋" w:eastAsia="仿宋" w:cs="仿宋"/>
          <w:snapToGrid w:val="0"/>
          <w:color w:val="323232"/>
          <w:spacing w:val="5"/>
          <w:kern w:val="0"/>
          <w:sz w:val="31"/>
          <w:szCs w:val="31"/>
          <w:lang w:val="en-US" w:eastAsia="zh-CN" w:bidi="ar-SA"/>
        </w:rPr>
        <w:t>%、</w:t>
      </w:r>
      <w:r>
        <w:rPr>
          <w:rFonts w:hint="eastAsia" w:ascii="仿宋" w:hAnsi="仿宋" w:eastAsia="仿宋" w:cs="仿宋"/>
          <w:snapToGrid w:val="0"/>
          <w:color w:val="323232"/>
          <w:spacing w:val="5"/>
          <w:kern w:val="0"/>
          <w:sz w:val="31"/>
          <w:szCs w:val="31"/>
          <w:lang w:val="en-US" w:eastAsia="zh-CN" w:bidi="ar-SA"/>
        </w:rPr>
        <w:t>20</w:t>
      </w:r>
      <w:r>
        <w:rPr>
          <w:rFonts w:hint="default" w:ascii="仿宋" w:hAnsi="仿宋" w:eastAsia="仿宋" w:cs="仿宋"/>
          <w:snapToGrid w:val="0"/>
          <w:color w:val="323232"/>
          <w:spacing w:val="5"/>
          <w:kern w:val="0"/>
          <w:sz w:val="31"/>
          <w:szCs w:val="31"/>
          <w:lang w:val="en-US" w:eastAsia="zh-CN" w:bidi="ar-SA"/>
        </w:rPr>
        <w:t>%、</w:t>
      </w:r>
      <w:r>
        <w:rPr>
          <w:rFonts w:hint="eastAsia" w:ascii="仿宋" w:hAnsi="仿宋" w:eastAsia="仿宋" w:cs="仿宋"/>
          <w:snapToGrid w:val="0"/>
          <w:color w:val="323232"/>
          <w:spacing w:val="5"/>
          <w:kern w:val="0"/>
          <w:sz w:val="31"/>
          <w:szCs w:val="31"/>
          <w:lang w:val="en-US" w:eastAsia="zh-CN" w:bidi="ar-SA"/>
        </w:rPr>
        <w:t>60</w:t>
      </w:r>
      <w:r>
        <w:rPr>
          <w:rFonts w:hint="default" w:ascii="仿宋" w:hAnsi="仿宋" w:eastAsia="仿宋" w:cs="仿宋"/>
          <w:snapToGrid w:val="0"/>
          <w:color w:val="323232"/>
          <w:spacing w:val="5"/>
          <w:kern w:val="0"/>
          <w:sz w:val="31"/>
          <w:szCs w:val="31"/>
          <w:lang w:val="en-US" w:eastAsia="zh-CN" w:bidi="ar-SA"/>
        </w:rPr>
        <w:t>%。</w:t>
      </w:r>
    </w:p>
    <w:p w14:paraId="5ED1823C">
      <w:pPr>
        <w:pStyle w:val="4"/>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b/>
          <w:bCs/>
          <w:spacing w:val="-3"/>
        </w:rPr>
      </w:pPr>
      <w:r>
        <w:rPr>
          <w:rFonts w:hint="eastAsia" w:ascii="仿宋" w:hAnsi="仿宋" w:eastAsia="仿宋" w:cs="仿宋"/>
          <w:snapToGrid w:val="0"/>
          <w:color w:val="323232"/>
          <w:spacing w:val="5"/>
          <w:kern w:val="0"/>
          <w:sz w:val="31"/>
          <w:szCs w:val="31"/>
          <w:lang w:val="en-US" w:eastAsia="zh-CN" w:bidi="ar-SA"/>
        </w:rPr>
        <w:t>（二）复赛</w:t>
      </w:r>
      <w:r>
        <w:rPr>
          <w:rFonts w:hint="default" w:ascii="仿宋" w:hAnsi="仿宋" w:eastAsia="仿宋" w:cs="仿宋"/>
          <w:snapToGrid w:val="0"/>
          <w:color w:val="323232"/>
          <w:spacing w:val="5"/>
          <w:kern w:val="0"/>
          <w:sz w:val="31"/>
          <w:szCs w:val="31"/>
          <w:lang w:val="en-US" w:eastAsia="zh-CN" w:bidi="ar-SA"/>
        </w:rPr>
        <w:t>每组分设一、二、三等奖，获奖比例</w:t>
      </w:r>
      <w:bookmarkStart w:id="0" w:name="_GoBack"/>
      <w:bookmarkEnd w:id="0"/>
      <w:r>
        <w:rPr>
          <w:rFonts w:hint="default" w:ascii="仿宋" w:hAnsi="仿宋" w:eastAsia="仿宋" w:cs="仿宋"/>
          <w:snapToGrid w:val="0"/>
          <w:color w:val="323232"/>
          <w:spacing w:val="5"/>
          <w:kern w:val="0"/>
          <w:sz w:val="31"/>
          <w:szCs w:val="31"/>
          <w:lang w:val="en-US" w:eastAsia="zh-CN" w:bidi="ar-SA"/>
        </w:rPr>
        <w:t>不超过</w:t>
      </w:r>
      <w:r>
        <w:rPr>
          <w:rFonts w:hint="eastAsia" w:ascii="仿宋" w:hAnsi="仿宋" w:eastAsia="仿宋" w:cs="仿宋"/>
          <w:snapToGrid w:val="0"/>
          <w:color w:val="323232"/>
          <w:spacing w:val="5"/>
          <w:kern w:val="0"/>
          <w:sz w:val="31"/>
          <w:szCs w:val="31"/>
          <w:lang w:val="en-US" w:eastAsia="zh-CN" w:bidi="ar-SA"/>
        </w:rPr>
        <w:t>5</w:t>
      </w:r>
      <w:r>
        <w:rPr>
          <w:rFonts w:hint="default" w:ascii="仿宋" w:hAnsi="仿宋" w:eastAsia="仿宋" w:cs="仿宋"/>
          <w:snapToGrid w:val="0"/>
          <w:color w:val="323232"/>
          <w:spacing w:val="5"/>
          <w:kern w:val="0"/>
          <w:sz w:val="31"/>
          <w:szCs w:val="31"/>
          <w:lang w:val="en-US" w:eastAsia="zh-CN" w:bidi="ar-SA"/>
        </w:rPr>
        <w:t>%、</w:t>
      </w:r>
      <w:r>
        <w:rPr>
          <w:rFonts w:hint="eastAsia" w:ascii="仿宋" w:hAnsi="仿宋" w:eastAsia="仿宋" w:cs="仿宋"/>
          <w:snapToGrid w:val="0"/>
          <w:color w:val="323232"/>
          <w:spacing w:val="5"/>
          <w:kern w:val="0"/>
          <w:sz w:val="31"/>
          <w:szCs w:val="31"/>
          <w:lang w:val="en-US" w:eastAsia="zh-CN" w:bidi="ar-SA"/>
        </w:rPr>
        <w:t>10</w:t>
      </w:r>
      <w:r>
        <w:rPr>
          <w:rFonts w:hint="default" w:ascii="仿宋" w:hAnsi="仿宋" w:eastAsia="仿宋" w:cs="仿宋"/>
          <w:snapToGrid w:val="0"/>
          <w:color w:val="323232"/>
          <w:spacing w:val="5"/>
          <w:kern w:val="0"/>
          <w:sz w:val="31"/>
          <w:szCs w:val="31"/>
          <w:lang w:val="en-US" w:eastAsia="zh-CN" w:bidi="ar-SA"/>
        </w:rPr>
        <w:t>%、</w:t>
      </w:r>
      <w:r>
        <w:rPr>
          <w:rFonts w:hint="eastAsia" w:ascii="仿宋" w:hAnsi="仿宋" w:eastAsia="仿宋" w:cs="仿宋"/>
          <w:snapToGrid w:val="0"/>
          <w:color w:val="323232"/>
          <w:spacing w:val="5"/>
          <w:kern w:val="0"/>
          <w:sz w:val="31"/>
          <w:szCs w:val="31"/>
          <w:lang w:val="en-US" w:eastAsia="zh-CN" w:bidi="ar-SA"/>
        </w:rPr>
        <w:t>15</w:t>
      </w:r>
      <w:r>
        <w:rPr>
          <w:rFonts w:hint="default" w:ascii="仿宋" w:hAnsi="仿宋" w:eastAsia="仿宋" w:cs="仿宋"/>
          <w:snapToGrid w:val="0"/>
          <w:color w:val="323232"/>
          <w:spacing w:val="5"/>
          <w:kern w:val="0"/>
          <w:sz w:val="31"/>
          <w:szCs w:val="31"/>
          <w:lang w:val="en-US" w:eastAsia="zh-CN" w:bidi="ar-SA"/>
        </w:rPr>
        <w:t>%。</w:t>
      </w:r>
    </w:p>
    <w:p w14:paraId="3A3CE99E">
      <w:pPr>
        <w:pStyle w:val="4"/>
        <w:keepNext w:val="0"/>
        <w:keepLines w:val="0"/>
        <w:pageBreakBefore w:val="0"/>
        <w:widowControl w:val="0"/>
        <w:kinsoku/>
        <w:overflowPunct/>
        <w:topLinePunct w:val="0"/>
        <w:autoSpaceDE/>
        <w:autoSpaceDN/>
        <w:bidi w:val="0"/>
        <w:spacing w:beforeAutospacing="0" w:afterAutospacing="0" w:line="600" w:lineRule="exact"/>
        <w:ind w:firstLine="642" w:firstLineChars="200"/>
        <w:jc w:val="both"/>
        <w:textAlignment w:val="auto"/>
        <w:rPr>
          <w:rFonts w:hint="eastAsia" w:ascii="仿宋" w:hAnsi="仿宋" w:eastAsia="仿宋" w:cs="仿宋"/>
          <w:b/>
          <w:bCs/>
          <w:snapToGrid w:val="0"/>
          <w:color w:val="323232"/>
          <w:spacing w:val="5"/>
          <w:kern w:val="0"/>
          <w:sz w:val="31"/>
          <w:szCs w:val="31"/>
          <w:lang w:val="en-US" w:eastAsia="zh-CN" w:bidi="ar-SA"/>
        </w:rPr>
      </w:pPr>
      <w:r>
        <w:rPr>
          <w:rFonts w:hint="eastAsia" w:ascii="仿宋" w:hAnsi="仿宋" w:eastAsia="仿宋" w:cs="仿宋"/>
          <w:b/>
          <w:bCs/>
          <w:snapToGrid w:val="0"/>
          <w:color w:val="323232"/>
          <w:spacing w:val="5"/>
          <w:kern w:val="0"/>
          <w:sz w:val="31"/>
          <w:szCs w:val="31"/>
          <w:lang w:val="en-US" w:eastAsia="zh-CN" w:bidi="ar-SA"/>
        </w:rPr>
        <w:t>六、联系方式</w:t>
      </w:r>
    </w:p>
    <w:p w14:paraId="69E8A74D">
      <w:pPr>
        <w:pStyle w:val="4"/>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eastAsia" w:ascii="仿宋" w:hAnsi="仿宋" w:eastAsia="仿宋" w:cs="仿宋"/>
          <w:snapToGrid w:val="0"/>
          <w:color w:val="323232"/>
          <w:spacing w:val="5"/>
          <w:kern w:val="0"/>
          <w:sz w:val="31"/>
          <w:szCs w:val="31"/>
          <w:lang w:val="en-US" w:eastAsia="zh-CN" w:bidi="ar-SA"/>
        </w:rPr>
      </w:pPr>
      <w:r>
        <w:rPr>
          <w:rFonts w:hint="eastAsia" w:ascii="仿宋" w:hAnsi="仿宋" w:eastAsia="仿宋" w:cs="仿宋"/>
          <w:snapToGrid w:val="0"/>
          <w:color w:val="323232"/>
          <w:spacing w:val="5"/>
          <w:kern w:val="0"/>
          <w:sz w:val="31"/>
          <w:szCs w:val="31"/>
          <w:lang w:val="en-US" w:eastAsia="zh-CN" w:bidi="ar-SA"/>
        </w:rPr>
        <w:t>联 系 人 ： 赵 老 师    电 话 ： 0731-58291413 。</w:t>
      </w:r>
    </w:p>
    <w:p w14:paraId="3AFF1387">
      <w:pPr>
        <w:pStyle w:val="4"/>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eastAsia" w:ascii="仿宋" w:hAnsi="仿宋" w:eastAsia="仿宋" w:cs="仿宋"/>
          <w:snapToGrid w:val="0"/>
          <w:color w:val="323232"/>
          <w:spacing w:val="5"/>
          <w:kern w:val="0"/>
          <w:sz w:val="31"/>
          <w:szCs w:val="31"/>
          <w:lang w:val="en-US" w:eastAsia="zh-CN" w:bidi="ar-SA"/>
        </w:rPr>
      </w:pPr>
    </w:p>
    <w:p w14:paraId="727DE413">
      <w:pPr>
        <w:pStyle w:val="3"/>
        <w:spacing w:before="186" w:line="333" w:lineRule="auto"/>
        <w:ind w:left="3" w:firstLine="6294" w:firstLineChars="1992"/>
        <w:rPr>
          <w:rFonts w:hint="eastAsia"/>
          <w:spacing w:val="3"/>
          <w:lang w:val="en-US" w:eastAsia="zh-CN"/>
        </w:rPr>
      </w:pPr>
      <w:r>
        <w:rPr>
          <w:rFonts w:hint="eastAsia"/>
          <w:spacing w:val="3"/>
          <w:lang w:val="en-US" w:eastAsia="zh-CN"/>
        </w:rPr>
        <w:t>教务部</w:t>
      </w:r>
    </w:p>
    <w:p w14:paraId="12099978">
      <w:pPr>
        <w:pStyle w:val="3"/>
        <w:spacing w:before="186" w:line="333" w:lineRule="auto"/>
        <w:ind w:left="3" w:firstLine="5030" w:firstLineChars="1592"/>
      </w:pPr>
      <w:r>
        <w:rPr>
          <w:spacing w:val="3"/>
        </w:rPr>
        <w:t>202</w:t>
      </w:r>
      <w:r>
        <w:rPr>
          <w:rFonts w:hint="eastAsia"/>
          <w:spacing w:val="3"/>
          <w:lang w:val="en-US" w:eastAsia="zh-CN"/>
        </w:rPr>
        <w:t>6</w:t>
      </w:r>
      <w:r>
        <w:rPr>
          <w:spacing w:val="3"/>
        </w:rPr>
        <w:t xml:space="preserve"> 年 6 月 </w:t>
      </w:r>
      <w:r>
        <w:rPr>
          <w:rFonts w:hint="eastAsia"/>
          <w:spacing w:val="3"/>
          <w:lang w:val="en-US" w:eastAsia="zh-CN"/>
        </w:rPr>
        <w:t>25</w:t>
      </w:r>
      <w:r>
        <w:rPr>
          <w:spacing w:val="3"/>
        </w:rPr>
        <w:t xml:space="preserve"> 日</w:t>
      </w:r>
    </w:p>
    <w:p w14:paraId="45D8AD2D"/>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4C4C2">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65131"/>
    <w:rsid w:val="187A0D8F"/>
    <w:rsid w:val="1A365131"/>
    <w:rsid w:val="368659ED"/>
    <w:rsid w:val="51D4418F"/>
    <w:rsid w:val="5B280461"/>
    <w:rsid w:val="695C1C21"/>
    <w:rsid w:val="6A6F5460"/>
    <w:rsid w:val="7AC1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32"/>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2123</Words>
  <Characters>2253</Characters>
  <Lines>0</Lines>
  <Paragraphs>0</Paragraphs>
  <TotalTime>0</TotalTime>
  <ScaleCrop>false</ScaleCrop>
  <LinksUpToDate>false</LinksUpToDate>
  <CharactersWithSpaces>2350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2026-06-25T02:41:00Z</dcterms:created>
  <dc:creator>Inner peace</dc:creator>
  <cp:lastModifiedBy>Inner peace</cp:lastModifiedBy>
  <dcterms:modified xsi:type="dcterms:W3CDTF">2026-06-25T06:25:17Z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83DB40B912244D22BA5107A4DA786833_11</vt:lpwstr>
  </property>
  <property fmtid="{D5CDD505-2E9C-101B-9397-08002B2CF9AE}" pid="4" name="KSOTemplateDocerSaveRecord">
    <vt:lpwstr>eyJoZGlkIjoiMTQ5M2Q3MmNjNjljOGVmN2UxYzAwMjdkNDI1NmQ1NDMiLCJ1c2VySWQiOiI0Mjc0OTU3MzcifQ==</vt:lpwstr>
  </property>
</Properties>
</file>